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1364" w:hanging="1364" w:hangingChars="647"/>
        <w:rPr>
          <w:rFonts w:ascii="宋体" w:hAnsi="宋体"/>
          <w:b/>
          <w:szCs w:val="21"/>
        </w:rPr>
      </w:pPr>
    </w:p>
    <w:p>
      <w:pPr>
        <w:jc w:val="center"/>
        <w:rPr>
          <w:rFonts w:ascii="宋体" w:hAnsi="宋体"/>
          <w:color w:val="000000"/>
          <w:sz w:val="44"/>
        </w:rPr>
      </w:pPr>
    </w:p>
    <w:p>
      <w:pPr>
        <w:spacing w:line="360" w:lineRule="auto"/>
        <w:jc w:val="center"/>
        <w:rPr>
          <w:rFonts w:ascii="宋体" w:hAnsi="宋体"/>
          <w:color w:val="000000"/>
          <w:sz w:val="44"/>
        </w:rPr>
      </w:pPr>
      <w:r>
        <w:rPr>
          <w:rFonts w:hint="eastAsia" w:ascii="宋体" w:hAnsi="宋体"/>
          <w:color w:val="000000"/>
          <w:sz w:val="44"/>
        </w:rPr>
        <w:t xml:space="preserve">中医内科临床诊疗指南 </w:t>
      </w:r>
      <w:r>
        <w:rPr>
          <w:rFonts w:hint="eastAsia" w:ascii="宋体" w:hAnsi="宋体"/>
          <w:b/>
          <w:color w:val="000000"/>
          <w:sz w:val="44"/>
        </w:rPr>
        <w:t>急性心肌梗死</w:t>
      </w:r>
    </w:p>
    <w:p>
      <w:pPr>
        <w:spacing w:line="360" w:lineRule="auto"/>
        <w:jc w:val="center"/>
        <w:rPr>
          <w:rFonts w:ascii="仿宋" w:hAnsi="仿宋" w:eastAsia="仿宋"/>
          <w:b/>
          <w:bCs/>
          <w:color w:val="000000"/>
          <w:sz w:val="30"/>
        </w:rPr>
      </w:pPr>
      <w:r>
        <w:rPr>
          <w:rFonts w:hint="eastAsia" w:ascii="仿宋" w:hAnsi="仿宋" w:eastAsia="仿宋"/>
          <w:b/>
          <w:bCs/>
          <w:color w:val="000000"/>
          <w:sz w:val="30"/>
        </w:rPr>
        <w:t>项目编号：SATCM--2015 - BZ〔182〕</w:t>
      </w:r>
    </w:p>
    <w:p>
      <w:pPr>
        <w:spacing w:line="360" w:lineRule="auto"/>
        <w:jc w:val="center"/>
        <w:rPr>
          <w:rFonts w:ascii="宋体" w:hAnsi="宋体"/>
          <w:color w:val="000000"/>
          <w:sz w:val="44"/>
        </w:rPr>
      </w:pPr>
      <w:r>
        <w:rPr>
          <w:rFonts w:hint="eastAsia" w:ascii="宋体" w:hAnsi="宋体"/>
          <w:color w:val="000000"/>
          <w:sz w:val="44"/>
        </w:rPr>
        <w:t>编制说明</w:t>
      </w:r>
    </w:p>
    <w:p>
      <w:pPr>
        <w:spacing w:line="360" w:lineRule="auto"/>
        <w:jc w:val="left"/>
        <w:rPr>
          <w:rFonts w:ascii="仿宋" w:hAnsi="仿宋" w:eastAsia="仿宋"/>
          <w:color w:val="000000"/>
          <w:sz w:val="32"/>
        </w:rPr>
      </w:pPr>
    </w:p>
    <w:p>
      <w:pPr>
        <w:spacing w:line="360" w:lineRule="auto"/>
        <w:jc w:val="left"/>
        <w:rPr>
          <w:rFonts w:ascii="仿宋" w:hAnsi="仿宋" w:eastAsia="仿宋"/>
          <w:color w:val="000000"/>
          <w:sz w:val="32"/>
        </w:rPr>
      </w:pPr>
    </w:p>
    <w:p>
      <w:pPr>
        <w:jc w:val="left"/>
        <w:rPr>
          <w:rFonts w:ascii="仿宋" w:hAnsi="仿宋" w:eastAsia="仿宋"/>
          <w:color w:val="000000"/>
          <w:sz w:val="32"/>
        </w:rPr>
      </w:pPr>
    </w:p>
    <w:p>
      <w:pPr>
        <w:jc w:val="left"/>
        <w:rPr>
          <w:rFonts w:ascii="仿宋" w:hAnsi="仿宋" w:eastAsia="仿宋"/>
          <w:color w:val="000000"/>
          <w:sz w:val="32"/>
        </w:rPr>
      </w:pPr>
      <w:r>
        <w:rPr>
          <w:rFonts w:hint="eastAsia" w:ascii="仿宋" w:hAnsi="仿宋" w:eastAsia="仿宋"/>
          <w:color w:val="000000"/>
          <w:sz w:val="32"/>
        </w:rPr>
        <w:t xml:space="preserve">提出单位：中华中医药学会 </w:t>
      </w:r>
    </w:p>
    <w:p>
      <w:pPr>
        <w:jc w:val="left"/>
        <w:rPr>
          <w:rFonts w:ascii="仿宋" w:hAnsi="仿宋" w:eastAsia="仿宋"/>
          <w:color w:val="000000"/>
          <w:sz w:val="32"/>
        </w:rPr>
      </w:pPr>
      <w:r>
        <w:rPr>
          <w:rFonts w:hint="eastAsia" w:ascii="仿宋" w:hAnsi="仿宋" w:eastAsia="仿宋"/>
          <w:color w:val="000000"/>
          <w:sz w:val="32"/>
        </w:rPr>
        <w:t xml:space="preserve">归口单位：中华中医药学会 </w:t>
      </w:r>
    </w:p>
    <w:p>
      <w:pPr>
        <w:jc w:val="left"/>
        <w:rPr>
          <w:rFonts w:ascii="仿宋" w:hAnsi="仿宋" w:eastAsia="仿宋"/>
          <w:color w:val="000000"/>
          <w:sz w:val="32"/>
        </w:rPr>
      </w:pPr>
      <w:r>
        <w:rPr>
          <w:rFonts w:hint="eastAsia" w:ascii="仿宋" w:hAnsi="仿宋" w:eastAsia="仿宋"/>
          <w:color w:val="000000"/>
          <w:sz w:val="32"/>
        </w:rPr>
        <w:t xml:space="preserve">项目承担单位： 广东省中医院 </w:t>
      </w:r>
    </w:p>
    <w:p>
      <w:pPr>
        <w:ind w:left="2560" w:hanging="2560" w:hangingChars="800"/>
        <w:jc w:val="left"/>
        <w:rPr>
          <w:rFonts w:hint="eastAsia" w:ascii="仿宋" w:hAnsi="仿宋" w:eastAsia="仿宋"/>
          <w:color w:val="000000"/>
          <w:sz w:val="32"/>
        </w:rPr>
      </w:pPr>
      <w:r>
        <w:rPr>
          <w:rFonts w:hint="eastAsia" w:ascii="仿宋" w:hAnsi="仿宋" w:eastAsia="仿宋"/>
          <w:color w:val="000000"/>
          <w:sz w:val="32"/>
        </w:rPr>
        <w:t>项目工作组成员：</w:t>
      </w:r>
      <w:r>
        <w:rPr>
          <w:rFonts w:hint="eastAsia" w:ascii="仿宋" w:hAnsi="仿宋" w:eastAsia="仿宋"/>
          <w:color w:val="000000"/>
          <w:sz w:val="32"/>
          <w:lang w:val="en-US" w:eastAsia="zh-CN"/>
        </w:rPr>
        <w:t>丁邦晗，张敏州，林谦，史大卓，刘红旭，李军，王显，吴伟，邓悦，卢云，王肖龙，毛静远，朱明军，史载祥，邓旻，毛威，安冬青，戴小华，李文杰，刘中勇，潘朝锌，叶勇，董琼芬，苏和，张培影，王忠良，杨海玉，邹旭，王大伟，王磊，郭新峰，刘少南等。</w:t>
      </w:r>
    </w:p>
    <w:p>
      <w:pPr>
        <w:jc w:val="left"/>
        <w:rPr>
          <w:rFonts w:hint="eastAsia" w:ascii="仿宋" w:hAnsi="仿宋" w:eastAsia="仿宋"/>
          <w:color w:val="000000"/>
          <w:sz w:val="32"/>
        </w:rPr>
      </w:pPr>
    </w:p>
    <w:p>
      <w:pPr>
        <w:rPr>
          <w:rFonts w:ascii="仿宋" w:hAnsi="仿宋" w:eastAsia="仿宋"/>
          <w:color w:val="000000"/>
          <w:sz w:val="32"/>
        </w:rPr>
      </w:pPr>
    </w:p>
    <w:p>
      <w:pPr>
        <w:rPr>
          <w:rFonts w:hint="eastAsia" w:ascii="仿宋" w:hAnsi="仿宋" w:eastAsia="仿宋"/>
          <w:color w:val="000000"/>
          <w:sz w:val="32"/>
        </w:rPr>
      </w:pPr>
    </w:p>
    <w:p>
      <w:pPr>
        <w:jc w:val="center"/>
        <w:rPr>
          <w:rFonts w:ascii="仿宋" w:hAnsi="仿宋" w:eastAsia="仿宋"/>
          <w:color w:val="000000"/>
          <w:sz w:val="32"/>
        </w:rPr>
      </w:pPr>
      <w:r>
        <w:rPr>
          <w:rFonts w:hint="eastAsia" w:ascii="仿宋" w:hAnsi="仿宋" w:eastAsia="仿宋"/>
          <w:color w:val="000000"/>
          <w:sz w:val="32"/>
        </w:rPr>
        <w:t xml:space="preserve">二〇一七 年七月 </w:t>
      </w:r>
    </w:p>
    <w:p>
      <w:pPr>
        <w:jc w:val="center"/>
      </w:pPr>
    </w:p>
    <w:p>
      <w:pPr>
        <w:spacing w:line="360" w:lineRule="auto"/>
        <w:ind w:firstLine="420"/>
        <w:jc w:val="center"/>
        <w:rPr>
          <w:rFonts w:ascii="宋体" w:hAnsi="宋体" w:cs="宋体"/>
          <w:b/>
          <w:bCs/>
          <w:sz w:val="36"/>
          <w:szCs w:val="36"/>
        </w:rPr>
        <w:sectPr>
          <w:footerReference r:id="rId3" w:type="first"/>
          <w:pgSz w:w="11906" w:h="16838"/>
          <w:pgMar w:top="1440" w:right="1800" w:bottom="1440" w:left="1800" w:header="851" w:footer="992" w:gutter="0"/>
          <w:pgBorders>
            <w:top w:val="none" w:sz="0" w:space="0"/>
            <w:left w:val="none" w:sz="0" w:space="0"/>
            <w:bottom w:val="none" w:sz="0" w:space="0"/>
            <w:right w:val="none" w:sz="0" w:space="0"/>
          </w:pgBorders>
          <w:cols w:space="720" w:num="1"/>
          <w:titlePg/>
          <w:docGrid w:type="lines" w:linePitch="312" w:charSpace="0"/>
        </w:sectPr>
      </w:pPr>
    </w:p>
    <w:p>
      <w:pPr>
        <w:spacing w:line="360" w:lineRule="auto"/>
        <w:ind w:firstLine="420"/>
        <w:jc w:val="center"/>
        <w:rPr>
          <w:rFonts w:hint="eastAsia" w:ascii="宋体" w:hAnsi="宋体" w:cs="宋体"/>
          <w:b/>
          <w:bCs/>
          <w:sz w:val="36"/>
          <w:szCs w:val="36"/>
        </w:rPr>
        <w:sectPr>
          <w:pgSz w:w="11906" w:h="16838"/>
          <w:pgMar w:top="1440" w:right="1800" w:bottom="1440" w:left="1800" w:header="851" w:footer="992" w:gutter="0"/>
          <w:pgBorders>
            <w:top w:val="none" w:sz="0" w:space="0"/>
            <w:left w:val="none" w:sz="0" w:space="0"/>
            <w:bottom w:val="none" w:sz="0" w:space="0"/>
            <w:right w:val="none" w:sz="0" w:space="0"/>
          </w:pgBorders>
          <w:pgNumType w:start="1"/>
          <w:cols w:space="720" w:num="1"/>
          <w:titlePg/>
          <w:docGrid w:type="lines" w:linePitch="312" w:charSpace="0"/>
        </w:sectPr>
      </w:pPr>
    </w:p>
    <w:p>
      <w:pPr>
        <w:spacing w:line="360" w:lineRule="auto"/>
        <w:ind w:firstLine="420"/>
        <w:jc w:val="center"/>
        <w:rPr>
          <w:rFonts w:ascii="宋体" w:hAnsi="宋体" w:cs="宋体"/>
          <w:b/>
          <w:bCs/>
          <w:sz w:val="24"/>
          <w:szCs w:val="24"/>
        </w:rPr>
      </w:pPr>
      <w:r>
        <w:rPr>
          <w:rFonts w:hint="eastAsia" w:ascii="宋体" w:hAnsi="宋体" w:cs="宋体"/>
          <w:b/>
          <w:bCs/>
          <w:sz w:val="24"/>
          <w:szCs w:val="24"/>
        </w:rPr>
        <w:t>目</w:t>
      </w:r>
      <w:r>
        <w:rPr>
          <w:rFonts w:hint="eastAsia" w:ascii="宋体" w:hAnsi="宋体" w:cs="宋体"/>
          <w:b/>
          <w:bCs/>
          <w:sz w:val="24"/>
          <w:szCs w:val="24"/>
          <w:lang w:val="en-US" w:eastAsia="zh-CN"/>
        </w:rPr>
        <w:t xml:space="preserve"> </w:t>
      </w:r>
      <w:r>
        <w:rPr>
          <w:rFonts w:hint="eastAsia" w:ascii="宋体" w:hAnsi="宋体" w:cs="宋体"/>
          <w:b/>
          <w:bCs/>
          <w:sz w:val="24"/>
          <w:szCs w:val="24"/>
        </w:rPr>
        <w:t>录</w:t>
      </w:r>
    </w:p>
    <w:p>
      <w:pPr>
        <w:pStyle w:val="7"/>
        <w:keepNext w:val="0"/>
        <w:keepLines w:val="0"/>
        <w:pageBreakBefore w:val="0"/>
        <w:tabs>
          <w:tab w:val="right" w:leader="dot" w:pos="8296"/>
        </w:tabs>
        <w:kinsoku/>
        <w:wordWrap/>
        <w:overflowPunct/>
        <w:topLinePunct w:val="0"/>
        <w:autoSpaceDE/>
        <w:autoSpaceDN/>
        <w:bidi w:val="0"/>
        <w:adjustRightInd/>
        <w:snapToGrid/>
        <w:spacing w:before="157" w:beforeLines="50" w:after="157" w:afterLines="50" w:line="400" w:lineRule="exact"/>
        <w:ind w:right="0" w:rightChars="0" w:firstLine="0" w:firstLineChars="0"/>
        <w:textAlignment w:val="auto"/>
        <w:outlineLvl w:val="9"/>
        <w:rPr>
          <w:rFonts w:ascii="宋体" w:hAnsi="宋体" w:eastAsia="宋体"/>
          <w:kern w:val="2"/>
          <w:sz w:val="21"/>
          <w:szCs w:val="21"/>
        </w:rPr>
      </w:pPr>
      <w:r>
        <w:rPr>
          <w:sz w:val="21"/>
          <w:szCs w:val="21"/>
        </w:rPr>
        <w:fldChar w:fldCharType="begin"/>
      </w:r>
      <w:r>
        <w:rPr>
          <w:sz w:val="21"/>
          <w:szCs w:val="21"/>
        </w:rPr>
        <w:instrText xml:space="preserve"> </w:instrText>
      </w:r>
      <w:r>
        <w:rPr>
          <w:rFonts w:hint="eastAsia"/>
          <w:sz w:val="21"/>
          <w:szCs w:val="21"/>
        </w:rPr>
        <w:instrText xml:space="preserve">TOC \o "1-3" \h \z \u</w:instrText>
      </w:r>
      <w:r>
        <w:rPr>
          <w:sz w:val="21"/>
          <w:szCs w:val="21"/>
        </w:rPr>
        <w:instrText xml:space="preserve"> </w:instrText>
      </w:r>
      <w:r>
        <w:rPr>
          <w:sz w:val="21"/>
          <w:szCs w:val="21"/>
        </w:rPr>
        <w:fldChar w:fldCharType="separate"/>
      </w:r>
      <w:r>
        <w:rPr>
          <w:sz w:val="21"/>
          <w:szCs w:val="21"/>
        </w:rPr>
        <w:fldChar w:fldCharType="begin"/>
      </w:r>
      <w:r>
        <w:rPr>
          <w:sz w:val="21"/>
          <w:szCs w:val="21"/>
        </w:rPr>
        <w:instrText xml:space="preserve"> HYPERLINK \l "_Toc498282946" </w:instrText>
      </w:r>
      <w:r>
        <w:rPr>
          <w:sz w:val="21"/>
          <w:szCs w:val="21"/>
        </w:rPr>
        <w:fldChar w:fldCharType="separate"/>
      </w:r>
      <w:r>
        <w:rPr>
          <w:rStyle w:val="10"/>
          <w:rFonts w:ascii="宋体" w:hAnsi="宋体" w:eastAsia="宋体"/>
          <w:sz w:val="21"/>
          <w:szCs w:val="21"/>
        </w:rPr>
        <w:t>一、工作简况</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_Toc498282946 \h </w:instrText>
      </w:r>
      <w:r>
        <w:rPr>
          <w:rFonts w:ascii="宋体" w:hAnsi="宋体" w:eastAsia="宋体"/>
          <w:sz w:val="21"/>
          <w:szCs w:val="21"/>
        </w:rPr>
        <w:fldChar w:fldCharType="separate"/>
      </w:r>
      <w:r>
        <w:rPr>
          <w:rFonts w:ascii="宋体" w:hAnsi="宋体" w:eastAsia="宋体"/>
          <w:sz w:val="21"/>
          <w:szCs w:val="21"/>
        </w:rPr>
        <w:t>1</w:t>
      </w:r>
      <w:r>
        <w:rPr>
          <w:rFonts w:ascii="宋体" w:hAnsi="宋体" w:eastAsia="宋体"/>
          <w:sz w:val="21"/>
          <w:szCs w:val="21"/>
        </w:rPr>
        <w:fldChar w:fldCharType="end"/>
      </w:r>
      <w:r>
        <w:rPr>
          <w:rFonts w:ascii="宋体" w:hAnsi="宋体" w:eastAsia="宋体"/>
          <w:sz w:val="21"/>
          <w:szCs w:val="21"/>
        </w:rPr>
        <w:fldChar w:fldCharType="end"/>
      </w:r>
    </w:p>
    <w:p>
      <w:pPr>
        <w:pStyle w:val="8"/>
        <w:keepNext w:val="0"/>
        <w:keepLines w:val="0"/>
        <w:pageBreakBefore w:val="0"/>
        <w:tabs>
          <w:tab w:val="right" w:leader="dot" w:pos="8296"/>
        </w:tabs>
        <w:kinsoku/>
        <w:wordWrap/>
        <w:overflowPunct/>
        <w:topLinePunct w:val="0"/>
        <w:autoSpaceDE/>
        <w:autoSpaceDN/>
        <w:bidi w:val="0"/>
        <w:adjustRightInd/>
        <w:snapToGrid/>
        <w:spacing w:before="157" w:beforeLines="50" w:after="157" w:afterLines="50" w:line="400" w:lineRule="exact"/>
        <w:ind w:right="0" w:rightChars="0" w:firstLine="0" w:firstLineChars="0"/>
        <w:textAlignment w:val="auto"/>
        <w:outlineLvl w:val="9"/>
        <w:rPr>
          <w:rFonts w:ascii="宋体" w:hAnsi="宋体" w:eastAsia="宋体"/>
          <w:kern w:val="2"/>
          <w:sz w:val="21"/>
          <w:szCs w:val="21"/>
        </w:rPr>
      </w:pPr>
      <w:r>
        <w:rPr>
          <w:sz w:val="21"/>
          <w:szCs w:val="21"/>
        </w:rPr>
        <w:fldChar w:fldCharType="begin"/>
      </w:r>
      <w:r>
        <w:rPr>
          <w:sz w:val="21"/>
          <w:szCs w:val="21"/>
        </w:rPr>
        <w:instrText xml:space="preserve"> HYPERLINK \l "_Toc498282947" </w:instrText>
      </w:r>
      <w:r>
        <w:rPr>
          <w:sz w:val="21"/>
          <w:szCs w:val="21"/>
        </w:rPr>
        <w:fldChar w:fldCharType="separate"/>
      </w:r>
      <w:r>
        <w:rPr>
          <w:rStyle w:val="10"/>
          <w:rFonts w:ascii="宋体" w:hAnsi="宋体" w:eastAsia="宋体"/>
          <w:sz w:val="21"/>
          <w:szCs w:val="21"/>
        </w:rPr>
        <w:t>1.任务来源</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_Toc498282947 \h </w:instrText>
      </w:r>
      <w:r>
        <w:rPr>
          <w:rFonts w:ascii="宋体" w:hAnsi="宋体" w:eastAsia="宋体"/>
          <w:sz w:val="21"/>
          <w:szCs w:val="21"/>
        </w:rPr>
        <w:fldChar w:fldCharType="separate"/>
      </w:r>
      <w:r>
        <w:rPr>
          <w:rFonts w:ascii="宋体" w:hAnsi="宋体" w:eastAsia="宋体"/>
          <w:sz w:val="21"/>
          <w:szCs w:val="21"/>
        </w:rPr>
        <w:t>1</w:t>
      </w:r>
      <w:r>
        <w:rPr>
          <w:rFonts w:ascii="宋体" w:hAnsi="宋体" w:eastAsia="宋体"/>
          <w:sz w:val="21"/>
          <w:szCs w:val="21"/>
        </w:rPr>
        <w:fldChar w:fldCharType="end"/>
      </w:r>
      <w:r>
        <w:rPr>
          <w:rFonts w:ascii="宋体" w:hAnsi="宋体" w:eastAsia="宋体"/>
          <w:sz w:val="21"/>
          <w:szCs w:val="21"/>
        </w:rPr>
        <w:fldChar w:fldCharType="end"/>
      </w:r>
    </w:p>
    <w:p>
      <w:pPr>
        <w:pStyle w:val="8"/>
        <w:keepNext w:val="0"/>
        <w:keepLines w:val="0"/>
        <w:pageBreakBefore w:val="0"/>
        <w:tabs>
          <w:tab w:val="right" w:leader="dot" w:pos="8296"/>
        </w:tabs>
        <w:kinsoku/>
        <w:wordWrap/>
        <w:overflowPunct/>
        <w:topLinePunct w:val="0"/>
        <w:autoSpaceDE/>
        <w:autoSpaceDN/>
        <w:bidi w:val="0"/>
        <w:adjustRightInd/>
        <w:snapToGrid/>
        <w:spacing w:before="157" w:beforeLines="50" w:after="157" w:afterLines="50" w:line="400" w:lineRule="exact"/>
        <w:ind w:right="0" w:rightChars="0" w:firstLine="0" w:firstLineChars="0"/>
        <w:textAlignment w:val="auto"/>
        <w:outlineLvl w:val="9"/>
        <w:rPr>
          <w:rFonts w:ascii="宋体" w:hAnsi="宋体" w:eastAsia="宋体"/>
          <w:kern w:val="2"/>
          <w:sz w:val="21"/>
          <w:szCs w:val="21"/>
        </w:rPr>
      </w:pPr>
      <w:r>
        <w:rPr>
          <w:sz w:val="21"/>
          <w:szCs w:val="21"/>
        </w:rPr>
        <w:fldChar w:fldCharType="begin"/>
      </w:r>
      <w:r>
        <w:rPr>
          <w:sz w:val="21"/>
          <w:szCs w:val="21"/>
        </w:rPr>
        <w:instrText xml:space="preserve"> HYPERLINK \l "_Toc498282948" </w:instrText>
      </w:r>
      <w:r>
        <w:rPr>
          <w:sz w:val="21"/>
          <w:szCs w:val="21"/>
        </w:rPr>
        <w:fldChar w:fldCharType="separate"/>
      </w:r>
      <w:r>
        <w:rPr>
          <w:rStyle w:val="10"/>
          <w:rFonts w:ascii="宋体" w:hAnsi="宋体" w:eastAsia="宋体"/>
          <w:sz w:val="21"/>
          <w:szCs w:val="21"/>
        </w:rPr>
        <w:t>2.协作单位</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_Toc498282948 \h </w:instrText>
      </w:r>
      <w:r>
        <w:rPr>
          <w:rFonts w:ascii="宋体" w:hAnsi="宋体" w:eastAsia="宋体"/>
          <w:sz w:val="21"/>
          <w:szCs w:val="21"/>
        </w:rPr>
        <w:fldChar w:fldCharType="separate"/>
      </w:r>
      <w:r>
        <w:rPr>
          <w:rFonts w:ascii="宋体" w:hAnsi="宋体" w:eastAsia="宋体"/>
          <w:sz w:val="21"/>
          <w:szCs w:val="21"/>
        </w:rPr>
        <w:t>1</w:t>
      </w:r>
      <w:r>
        <w:rPr>
          <w:rFonts w:ascii="宋体" w:hAnsi="宋体" w:eastAsia="宋体"/>
          <w:sz w:val="21"/>
          <w:szCs w:val="21"/>
        </w:rPr>
        <w:fldChar w:fldCharType="end"/>
      </w:r>
      <w:r>
        <w:rPr>
          <w:rFonts w:ascii="宋体" w:hAnsi="宋体" w:eastAsia="宋体"/>
          <w:sz w:val="21"/>
          <w:szCs w:val="21"/>
        </w:rPr>
        <w:fldChar w:fldCharType="end"/>
      </w:r>
    </w:p>
    <w:p>
      <w:pPr>
        <w:pStyle w:val="8"/>
        <w:keepNext w:val="0"/>
        <w:keepLines w:val="0"/>
        <w:pageBreakBefore w:val="0"/>
        <w:tabs>
          <w:tab w:val="right" w:leader="dot" w:pos="8296"/>
        </w:tabs>
        <w:kinsoku/>
        <w:wordWrap/>
        <w:overflowPunct/>
        <w:topLinePunct w:val="0"/>
        <w:autoSpaceDE/>
        <w:autoSpaceDN/>
        <w:bidi w:val="0"/>
        <w:adjustRightInd/>
        <w:snapToGrid/>
        <w:spacing w:before="157" w:beforeLines="50" w:after="157" w:afterLines="50" w:line="400" w:lineRule="exact"/>
        <w:ind w:right="0" w:rightChars="0" w:firstLine="0" w:firstLineChars="0"/>
        <w:textAlignment w:val="auto"/>
        <w:outlineLvl w:val="9"/>
        <w:rPr>
          <w:rFonts w:ascii="宋体" w:hAnsi="宋体" w:eastAsia="宋体"/>
          <w:kern w:val="2"/>
          <w:sz w:val="21"/>
          <w:szCs w:val="21"/>
        </w:rPr>
      </w:pPr>
      <w:r>
        <w:rPr>
          <w:sz w:val="21"/>
          <w:szCs w:val="21"/>
        </w:rPr>
        <w:fldChar w:fldCharType="begin"/>
      </w:r>
      <w:r>
        <w:rPr>
          <w:sz w:val="21"/>
          <w:szCs w:val="21"/>
        </w:rPr>
        <w:instrText xml:space="preserve"> HYPERLINK \l "_Toc498282949" </w:instrText>
      </w:r>
      <w:r>
        <w:rPr>
          <w:sz w:val="21"/>
          <w:szCs w:val="21"/>
        </w:rPr>
        <w:fldChar w:fldCharType="separate"/>
      </w:r>
      <w:r>
        <w:rPr>
          <w:rStyle w:val="10"/>
          <w:rFonts w:ascii="宋体" w:hAnsi="宋体" w:eastAsia="宋体"/>
          <w:sz w:val="21"/>
          <w:szCs w:val="21"/>
        </w:rPr>
        <w:t>3.主要工作过程</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_Toc498282949 \h </w:instrText>
      </w:r>
      <w:r>
        <w:rPr>
          <w:rFonts w:ascii="宋体" w:hAnsi="宋体" w:eastAsia="宋体"/>
          <w:sz w:val="21"/>
          <w:szCs w:val="21"/>
        </w:rPr>
        <w:fldChar w:fldCharType="separate"/>
      </w:r>
      <w:r>
        <w:rPr>
          <w:rFonts w:ascii="宋体" w:hAnsi="宋体" w:eastAsia="宋体"/>
          <w:sz w:val="21"/>
          <w:szCs w:val="21"/>
        </w:rPr>
        <w:t>1</w:t>
      </w:r>
      <w:r>
        <w:rPr>
          <w:rFonts w:ascii="宋体" w:hAnsi="宋体" w:eastAsia="宋体"/>
          <w:sz w:val="21"/>
          <w:szCs w:val="21"/>
        </w:rPr>
        <w:fldChar w:fldCharType="end"/>
      </w:r>
      <w:r>
        <w:rPr>
          <w:rFonts w:ascii="宋体" w:hAnsi="宋体" w:eastAsia="宋体"/>
          <w:sz w:val="21"/>
          <w:szCs w:val="21"/>
        </w:rPr>
        <w:fldChar w:fldCharType="end"/>
      </w:r>
    </w:p>
    <w:p>
      <w:pPr>
        <w:pStyle w:val="8"/>
        <w:keepNext w:val="0"/>
        <w:keepLines w:val="0"/>
        <w:pageBreakBefore w:val="0"/>
        <w:tabs>
          <w:tab w:val="right" w:leader="dot" w:pos="8296"/>
        </w:tabs>
        <w:kinsoku/>
        <w:wordWrap/>
        <w:overflowPunct/>
        <w:topLinePunct w:val="0"/>
        <w:autoSpaceDE/>
        <w:autoSpaceDN/>
        <w:bidi w:val="0"/>
        <w:adjustRightInd/>
        <w:snapToGrid/>
        <w:spacing w:before="157" w:beforeLines="50" w:after="157" w:afterLines="50" w:line="400" w:lineRule="exact"/>
        <w:ind w:right="0" w:rightChars="0" w:firstLine="0" w:firstLineChars="0"/>
        <w:textAlignment w:val="auto"/>
        <w:outlineLvl w:val="9"/>
        <w:rPr>
          <w:rFonts w:ascii="宋体" w:hAnsi="宋体" w:eastAsia="宋体"/>
          <w:kern w:val="2"/>
          <w:sz w:val="21"/>
          <w:szCs w:val="21"/>
        </w:rPr>
      </w:pPr>
      <w:r>
        <w:rPr>
          <w:sz w:val="21"/>
          <w:szCs w:val="21"/>
        </w:rPr>
        <w:fldChar w:fldCharType="begin"/>
      </w:r>
      <w:r>
        <w:rPr>
          <w:sz w:val="21"/>
          <w:szCs w:val="21"/>
        </w:rPr>
        <w:instrText xml:space="preserve"> HYPERLINK \l "_Toc498282950" </w:instrText>
      </w:r>
      <w:r>
        <w:rPr>
          <w:sz w:val="21"/>
          <w:szCs w:val="21"/>
        </w:rPr>
        <w:fldChar w:fldCharType="separate"/>
      </w:r>
      <w:r>
        <w:rPr>
          <w:rStyle w:val="10"/>
          <w:rFonts w:ascii="宋体" w:hAnsi="宋体" w:eastAsia="宋体"/>
          <w:sz w:val="21"/>
          <w:szCs w:val="21"/>
        </w:rPr>
        <w:t>4.标准主要起草人及其所做的工作</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_Toc498282950 \h </w:instrText>
      </w:r>
      <w:r>
        <w:rPr>
          <w:rFonts w:ascii="宋体" w:hAnsi="宋体" w:eastAsia="宋体"/>
          <w:sz w:val="21"/>
          <w:szCs w:val="21"/>
        </w:rPr>
        <w:fldChar w:fldCharType="separate"/>
      </w:r>
      <w:r>
        <w:rPr>
          <w:rFonts w:ascii="宋体" w:hAnsi="宋体" w:eastAsia="宋体"/>
          <w:sz w:val="21"/>
          <w:szCs w:val="21"/>
        </w:rPr>
        <w:t>3</w:t>
      </w:r>
      <w:r>
        <w:rPr>
          <w:rFonts w:ascii="宋体" w:hAnsi="宋体" w:eastAsia="宋体"/>
          <w:sz w:val="21"/>
          <w:szCs w:val="21"/>
        </w:rPr>
        <w:fldChar w:fldCharType="end"/>
      </w:r>
      <w:r>
        <w:rPr>
          <w:rFonts w:ascii="宋体" w:hAnsi="宋体" w:eastAsia="宋体"/>
          <w:sz w:val="21"/>
          <w:szCs w:val="21"/>
        </w:rPr>
        <w:fldChar w:fldCharType="end"/>
      </w:r>
    </w:p>
    <w:p>
      <w:pPr>
        <w:pStyle w:val="7"/>
        <w:keepNext w:val="0"/>
        <w:keepLines w:val="0"/>
        <w:pageBreakBefore w:val="0"/>
        <w:tabs>
          <w:tab w:val="right" w:leader="dot" w:pos="8296"/>
        </w:tabs>
        <w:kinsoku/>
        <w:wordWrap/>
        <w:overflowPunct/>
        <w:topLinePunct w:val="0"/>
        <w:autoSpaceDE/>
        <w:autoSpaceDN/>
        <w:bidi w:val="0"/>
        <w:adjustRightInd/>
        <w:snapToGrid/>
        <w:spacing w:before="157" w:beforeLines="50" w:after="157" w:afterLines="50" w:line="400" w:lineRule="exact"/>
        <w:ind w:right="0" w:rightChars="0" w:firstLine="0" w:firstLineChars="0"/>
        <w:textAlignment w:val="auto"/>
        <w:outlineLvl w:val="9"/>
        <w:rPr>
          <w:rFonts w:ascii="宋体" w:hAnsi="宋体" w:eastAsia="宋体"/>
          <w:kern w:val="2"/>
          <w:sz w:val="21"/>
          <w:szCs w:val="21"/>
        </w:rPr>
      </w:pPr>
      <w:r>
        <w:rPr>
          <w:sz w:val="21"/>
          <w:szCs w:val="21"/>
        </w:rPr>
        <w:fldChar w:fldCharType="begin"/>
      </w:r>
      <w:r>
        <w:rPr>
          <w:sz w:val="21"/>
          <w:szCs w:val="21"/>
        </w:rPr>
        <w:instrText xml:space="preserve"> HYPERLINK \l "_Toc498282951" </w:instrText>
      </w:r>
      <w:r>
        <w:rPr>
          <w:sz w:val="21"/>
          <w:szCs w:val="21"/>
        </w:rPr>
        <w:fldChar w:fldCharType="separate"/>
      </w:r>
      <w:r>
        <w:rPr>
          <w:rStyle w:val="10"/>
          <w:rFonts w:ascii="宋体" w:hAnsi="宋体" w:eastAsia="宋体"/>
          <w:sz w:val="21"/>
          <w:szCs w:val="21"/>
        </w:rPr>
        <w:t>二、指南编制原则和确定指南主要内容的论据</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_Toc498282951 \h </w:instrText>
      </w:r>
      <w:r>
        <w:rPr>
          <w:rFonts w:ascii="宋体" w:hAnsi="宋体" w:eastAsia="宋体"/>
          <w:sz w:val="21"/>
          <w:szCs w:val="21"/>
        </w:rPr>
        <w:fldChar w:fldCharType="separate"/>
      </w:r>
      <w:r>
        <w:rPr>
          <w:rFonts w:ascii="宋体" w:hAnsi="宋体" w:eastAsia="宋体"/>
          <w:sz w:val="21"/>
          <w:szCs w:val="21"/>
        </w:rPr>
        <w:t>5</w:t>
      </w:r>
      <w:r>
        <w:rPr>
          <w:rFonts w:ascii="宋体" w:hAnsi="宋体" w:eastAsia="宋体"/>
          <w:sz w:val="21"/>
          <w:szCs w:val="21"/>
        </w:rPr>
        <w:fldChar w:fldCharType="end"/>
      </w:r>
      <w:r>
        <w:rPr>
          <w:rFonts w:ascii="宋体" w:hAnsi="宋体" w:eastAsia="宋体"/>
          <w:sz w:val="21"/>
          <w:szCs w:val="21"/>
        </w:rPr>
        <w:fldChar w:fldCharType="end"/>
      </w:r>
    </w:p>
    <w:p>
      <w:pPr>
        <w:pStyle w:val="8"/>
        <w:keepNext w:val="0"/>
        <w:keepLines w:val="0"/>
        <w:pageBreakBefore w:val="0"/>
        <w:tabs>
          <w:tab w:val="right" w:leader="dot" w:pos="8296"/>
        </w:tabs>
        <w:kinsoku/>
        <w:wordWrap/>
        <w:overflowPunct/>
        <w:topLinePunct w:val="0"/>
        <w:autoSpaceDE/>
        <w:autoSpaceDN/>
        <w:bidi w:val="0"/>
        <w:adjustRightInd/>
        <w:snapToGrid/>
        <w:spacing w:before="157" w:beforeLines="50" w:after="157" w:afterLines="50" w:line="400" w:lineRule="exact"/>
        <w:ind w:right="0" w:rightChars="0" w:firstLine="0" w:firstLineChars="0"/>
        <w:textAlignment w:val="auto"/>
        <w:outlineLvl w:val="9"/>
        <w:rPr>
          <w:rFonts w:ascii="宋体" w:hAnsi="宋体" w:eastAsia="宋体"/>
          <w:kern w:val="2"/>
          <w:sz w:val="21"/>
          <w:szCs w:val="21"/>
        </w:rPr>
      </w:pPr>
      <w:r>
        <w:rPr>
          <w:sz w:val="21"/>
          <w:szCs w:val="21"/>
        </w:rPr>
        <w:fldChar w:fldCharType="begin"/>
      </w:r>
      <w:r>
        <w:rPr>
          <w:sz w:val="21"/>
          <w:szCs w:val="21"/>
        </w:rPr>
        <w:instrText xml:space="preserve"> HYPERLINK \l "_Toc498282952" </w:instrText>
      </w:r>
      <w:r>
        <w:rPr>
          <w:sz w:val="21"/>
          <w:szCs w:val="21"/>
        </w:rPr>
        <w:fldChar w:fldCharType="separate"/>
      </w:r>
      <w:r>
        <w:rPr>
          <w:rStyle w:val="10"/>
          <w:rFonts w:ascii="宋体" w:hAnsi="宋体" w:eastAsia="宋体"/>
          <w:sz w:val="21"/>
          <w:szCs w:val="21"/>
        </w:rPr>
        <w:t>1.编制原则</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_Toc498282952 \h </w:instrText>
      </w:r>
      <w:r>
        <w:rPr>
          <w:rFonts w:ascii="宋体" w:hAnsi="宋体" w:eastAsia="宋体"/>
          <w:sz w:val="21"/>
          <w:szCs w:val="21"/>
        </w:rPr>
        <w:fldChar w:fldCharType="separate"/>
      </w:r>
      <w:r>
        <w:rPr>
          <w:rFonts w:ascii="宋体" w:hAnsi="宋体" w:eastAsia="宋体"/>
          <w:sz w:val="21"/>
          <w:szCs w:val="21"/>
        </w:rPr>
        <w:t>5</w:t>
      </w:r>
      <w:r>
        <w:rPr>
          <w:rFonts w:ascii="宋体" w:hAnsi="宋体" w:eastAsia="宋体"/>
          <w:sz w:val="21"/>
          <w:szCs w:val="21"/>
        </w:rPr>
        <w:fldChar w:fldCharType="end"/>
      </w:r>
      <w:r>
        <w:rPr>
          <w:rFonts w:ascii="宋体" w:hAnsi="宋体" w:eastAsia="宋体"/>
          <w:sz w:val="21"/>
          <w:szCs w:val="21"/>
        </w:rPr>
        <w:fldChar w:fldCharType="end"/>
      </w:r>
    </w:p>
    <w:p>
      <w:pPr>
        <w:pStyle w:val="8"/>
        <w:keepNext w:val="0"/>
        <w:keepLines w:val="0"/>
        <w:pageBreakBefore w:val="0"/>
        <w:tabs>
          <w:tab w:val="right" w:leader="dot" w:pos="8296"/>
        </w:tabs>
        <w:kinsoku/>
        <w:wordWrap/>
        <w:overflowPunct/>
        <w:topLinePunct w:val="0"/>
        <w:autoSpaceDE/>
        <w:autoSpaceDN/>
        <w:bidi w:val="0"/>
        <w:adjustRightInd/>
        <w:snapToGrid/>
        <w:spacing w:before="157" w:beforeLines="50" w:after="157" w:afterLines="50" w:line="400" w:lineRule="exact"/>
        <w:ind w:right="0" w:rightChars="0" w:firstLine="0" w:firstLineChars="0"/>
        <w:textAlignment w:val="auto"/>
        <w:outlineLvl w:val="9"/>
        <w:rPr>
          <w:rFonts w:ascii="宋体" w:hAnsi="宋体" w:eastAsia="宋体"/>
          <w:kern w:val="2"/>
          <w:sz w:val="21"/>
          <w:szCs w:val="21"/>
        </w:rPr>
      </w:pPr>
      <w:r>
        <w:rPr>
          <w:sz w:val="21"/>
          <w:szCs w:val="21"/>
        </w:rPr>
        <w:fldChar w:fldCharType="begin"/>
      </w:r>
      <w:r>
        <w:rPr>
          <w:sz w:val="21"/>
          <w:szCs w:val="21"/>
        </w:rPr>
        <w:instrText xml:space="preserve"> HYPERLINK \l "_Toc498282953" </w:instrText>
      </w:r>
      <w:r>
        <w:rPr>
          <w:sz w:val="21"/>
          <w:szCs w:val="21"/>
        </w:rPr>
        <w:fldChar w:fldCharType="separate"/>
      </w:r>
      <w:r>
        <w:rPr>
          <w:rStyle w:val="10"/>
          <w:rFonts w:ascii="宋体" w:hAnsi="宋体" w:eastAsia="宋体"/>
          <w:sz w:val="21"/>
          <w:szCs w:val="21"/>
        </w:rPr>
        <w:t>2.主要内容</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_Toc498282953 \h </w:instrText>
      </w:r>
      <w:r>
        <w:rPr>
          <w:rFonts w:ascii="宋体" w:hAnsi="宋体" w:eastAsia="宋体"/>
          <w:sz w:val="21"/>
          <w:szCs w:val="21"/>
        </w:rPr>
        <w:fldChar w:fldCharType="separate"/>
      </w:r>
      <w:r>
        <w:rPr>
          <w:rFonts w:ascii="宋体" w:hAnsi="宋体" w:eastAsia="宋体"/>
          <w:sz w:val="21"/>
          <w:szCs w:val="21"/>
        </w:rPr>
        <w:t>6</w:t>
      </w:r>
      <w:r>
        <w:rPr>
          <w:rFonts w:ascii="宋体" w:hAnsi="宋体" w:eastAsia="宋体"/>
          <w:sz w:val="21"/>
          <w:szCs w:val="21"/>
        </w:rPr>
        <w:fldChar w:fldCharType="end"/>
      </w:r>
      <w:r>
        <w:rPr>
          <w:rFonts w:ascii="宋体" w:hAnsi="宋体" w:eastAsia="宋体"/>
          <w:sz w:val="21"/>
          <w:szCs w:val="21"/>
        </w:rPr>
        <w:fldChar w:fldCharType="end"/>
      </w:r>
    </w:p>
    <w:p>
      <w:pPr>
        <w:pStyle w:val="7"/>
        <w:keepNext w:val="0"/>
        <w:keepLines w:val="0"/>
        <w:pageBreakBefore w:val="0"/>
        <w:tabs>
          <w:tab w:val="right" w:leader="dot" w:pos="8296"/>
        </w:tabs>
        <w:kinsoku/>
        <w:wordWrap/>
        <w:overflowPunct/>
        <w:topLinePunct w:val="0"/>
        <w:autoSpaceDE/>
        <w:autoSpaceDN/>
        <w:bidi w:val="0"/>
        <w:adjustRightInd/>
        <w:snapToGrid/>
        <w:spacing w:before="157" w:beforeLines="50" w:after="157" w:afterLines="50" w:line="400" w:lineRule="exact"/>
        <w:ind w:right="0" w:rightChars="0" w:firstLine="0" w:firstLineChars="0"/>
        <w:textAlignment w:val="auto"/>
        <w:outlineLvl w:val="9"/>
        <w:rPr>
          <w:rFonts w:ascii="宋体" w:hAnsi="宋体" w:eastAsia="宋体"/>
          <w:kern w:val="2"/>
          <w:sz w:val="21"/>
          <w:szCs w:val="21"/>
        </w:rPr>
      </w:pPr>
      <w:r>
        <w:rPr>
          <w:sz w:val="21"/>
          <w:szCs w:val="21"/>
        </w:rPr>
        <w:fldChar w:fldCharType="begin"/>
      </w:r>
      <w:r>
        <w:rPr>
          <w:sz w:val="21"/>
          <w:szCs w:val="21"/>
        </w:rPr>
        <w:instrText xml:space="preserve"> HYPERLINK \l "_Toc498282954" </w:instrText>
      </w:r>
      <w:r>
        <w:rPr>
          <w:sz w:val="21"/>
          <w:szCs w:val="21"/>
        </w:rPr>
        <w:fldChar w:fldCharType="separate"/>
      </w:r>
      <w:r>
        <w:rPr>
          <w:rStyle w:val="10"/>
          <w:rFonts w:ascii="宋体" w:hAnsi="宋体" w:eastAsia="宋体"/>
          <w:sz w:val="21"/>
          <w:szCs w:val="21"/>
        </w:rPr>
        <w:t>三、主要试验(或验证)的分析与综述报告,技术论证,预期效果</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_Toc498282954 \h </w:instrText>
      </w:r>
      <w:r>
        <w:rPr>
          <w:rFonts w:ascii="宋体" w:hAnsi="宋体" w:eastAsia="宋体"/>
          <w:sz w:val="21"/>
          <w:szCs w:val="21"/>
        </w:rPr>
        <w:fldChar w:fldCharType="separate"/>
      </w:r>
      <w:r>
        <w:rPr>
          <w:rFonts w:ascii="宋体" w:hAnsi="宋体" w:eastAsia="宋体"/>
          <w:sz w:val="21"/>
          <w:szCs w:val="21"/>
        </w:rPr>
        <w:t>6</w:t>
      </w:r>
      <w:r>
        <w:rPr>
          <w:rFonts w:ascii="宋体" w:hAnsi="宋体" w:eastAsia="宋体"/>
          <w:sz w:val="21"/>
          <w:szCs w:val="21"/>
        </w:rPr>
        <w:fldChar w:fldCharType="end"/>
      </w:r>
      <w:r>
        <w:rPr>
          <w:rFonts w:ascii="宋体" w:hAnsi="宋体" w:eastAsia="宋体"/>
          <w:sz w:val="21"/>
          <w:szCs w:val="21"/>
        </w:rPr>
        <w:fldChar w:fldCharType="end"/>
      </w:r>
    </w:p>
    <w:p>
      <w:pPr>
        <w:pStyle w:val="7"/>
        <w:keepNext w:val="0"/>
        <w:keepLines w:val="0"/>
        <w:pageBreakBefore w:val="0"/>
        <w:tabs>
          <w:tab w:val="right" w:leader="dot" w:pos="8296"/>
        </w:tabs>
        <w:kinsoku/>
        <w:wordWrap/>
        <w:overflowPunct/>
        <w:topLinePunct w:val="0"/>
        <w:autoSpaceDE/>
        <w:autoSpaceDN/>
        <w:bidi w:val="0"/>
        <w:adjustRightInd/>
        <w:snapToGrid/>
        <w:spacing w:before="157" w:beforeLines="50" w:after="157" w:afterLines="50" w:line="400" w:lineRule="exact"/>
        <w:ind w:right="0" w:rightChars="0" w:firstLine="0" w:firstLineChars="0"/>
        <w:textAlignment w:val="auto"/>
        <w:outlineLvl w:val="9"/>
        <w:rPr>
          <w:rFonts w:ascii="宋体" w:hAnsi="宋体" w:eastAsia="宋体"/>
          <w:kern w:val="2"/>
          <w:sz w:val="21"/>
          <w:szCs w:val="21"/>
        </w:rPr>
      </w:pPr>
      <w:r>
        <w:rPr>
          <w:sz w:val="21"/>
          <w:szCs w:val="21"/>
        </w:rPr>
        <w:fldChar w:fldCharType="begin"/>
      </w:r>
      <w:r>
        <w:rPr>
          <w:sz w:val="21"/>
          <w:szCs w:val="21"/>
        </w:rPr>
        <w:instrText xml:space="preserve"> HYPERLINK \l "_Toc498282955" </w:instrText>
      </w:r>
      <w:r>
        <w:rPr>
          <w:sz w:val="21"/>
          <w:szCs w:val="21"/>
        </w:rPr>
        <w:fldChar w:fldCharType="separate"/>
      </w:r>
      <w:r>
        <w:rPr>
          <w:rStyle w:val="10"/>
          <w:rFonts w:ascii="宋体" w:hAnsi="宋体" w:eastAsia="宋体"/>
          <w:sz w:val="21"/>
          <w:szCs w:val="21"/>
        </w:rPr>
        <w:t>四、与有关的现行法律、法规和强制性标准的关系</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_Toc498282955 \h </w:instrText>
      </w:r>
      <w:r>
        <w:rPr>
          <w:rFonts w:ascii="宋体" w:hAnsi="宋体" w:eastAsia="宋体"/>
          <w:sz w:val="21"/>
          <w:szCs w:val="21"/>
        </w:rPr>
        <w:fldChar w:fldCharType="separate"/>
      </w:r>
      <w:r>
        <w:rPr>
          <w:rFonts w:ascii="宋体" w:hAnsi="宋体" w:eastAsia="宋体"/>
          <w:sz w:val="21"/>
          <w:szCs w:val="21"/>
        </w:rPr>
        <w:t>7</w:t>
      </w:r>
      <w:r>
        <w:rPr>
          <w:rFonts w:ascii="宋体" w:hAnsi="宋体" w:eastAsia="宋体"/>
          <w:sz w:val="21"/>
          <w:szCs w:val="21"/>
        </w:rPr>
        <w:fldChar w:fldCharType="end"/>
      </w:r>
      <w:r>
        <w:rPr>
          <w:rFonts w:ascii="宋体" w:hAnsi="宋体" w:eastAsia="宋体"/>
          <w:sz w:val="21"/>
          <w:szCs w:val="21"/>
        </w:rPr>
        <w:fldChar w:fldCharType="end"/>
      </w:r>
    </w:p>
    <w:p>
      <w:pPr>
        <w:pStyle w:val="7"/>
        <w:keepNext w:val="0"/>
        <w:keepLines w:val="0"/>
        <w:pageBreakBefore w:val="0"/>
        <w:tabs>
          <w:tab w:val="right" w:leader="dot" w:pos="8296"/>
        </w:tabs>
        <w:kinsoku/>
        <w:wordWrap/>
        <w:overflowPunct/>
        <w:topLinePunct w:val="0"/>
        <w:autoSpaceDE/>
        <w:autoSpaceDN/>
        <w:bidi w:val="0"/>
        <w:adjustRightInd/>
        <w:snapToGrid/>
        <w:spacing w:before="157" w:beforeLines="50" w:after="157" w:afterLines="50" w:line="400" w:lineRule="exact"/>
        <w:ind w:right="0" w:rightChars="0" w:firstLine="0" w:firstLineChars="0"/>
        <w:textAlignment w:val="auto"/>
        <w:outlineLvl w:val="9"/>
        <w:rPr>
          <w:rFonts w:ascii="宋体" w:hAnsi="宋体" w:eastAsia="宋体"/>
          <w:kern w:val="2"/>
          <w:sz w:val="21"/>
          <w:szCs w:val="21"/>
        </w:rPr>
      </w:pPr>
      <w:r>
        <w:rPr>
          <w:sz w:val="21"/>
          <w:szCs w:val="21"/>
        </w:rPr>
        <w:fldChar w:fldCharType="begin"/>
      </w:r>
      <w:r>
        <w:rPr>
          <w:sz w:val="21"/>
          <w:szCs w:val="21"/>
        </w:rPr>
        <w:instrText xml:space="preserve"> HYPERLINK \l "_Toc498282956" </w:instrText>
      </w:r>
      <w:r>
        <w:rPr>
          <w:sz w:val="21"/>
          <w:szCs w:val="21"/>
        </w:rPr>
        <w:fldChar w:fldCharType="separate"/>
      </w:r>
      <w:r>
        <w:rPr>
          <w:rStyle w:val="10"/>
          <w:rFonts w:ascii="宋体" w:hAnsi="宋体" w:eastAsia="宋体"/>
          <w:sz w:val="21"/>
          <w:szCs w:val="21"/>
        </w:rPr>
        <w:t>五、重大分歧意见的处理经过和依据</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_Toc498282956 \h </w:instrText>
      </w:r>
      <w:r>
        <w:rPr>
          <w:rFonts w:ascii="宋体" w:hAnsi="宋体" w:eastAsia="宋体"/>
          <w:sz w:val="21"/>
          <w:szCs w:val="21"/>
        </w:rPr>
        <w:fldChar w:fldCharType="separate"/>
      </w:r>
      <w:r>
        <w:rPr>
          <w:rFonts w:ascii="宋体" w:hAnsi="宋体" w:eastAsia="宋体"/>
          <w:sz w:val="21"/>
          <w:szCs w:val="21"/>
        </w:rPr>
        <w:t>7</w:t>
      </w:r>
      <w:r>
        <w:rPr>
          <w:rFonts w:ascii="宋体" w:hAnsi="宋体" w:eastAsia="宋体"/>
          <w:sz w:val="21"/>
          <w:szCs w:val="21"/>
        </w:rPr>
        <w:fldChar w:fldCharType="end"/>
      </w:r>
      <w:r>
        <w:rPr>
          <w:rFonts w:ascii="宋体" w:hAnsi="宋体" w:eastAsia="宋体"/>
          <w:sz w:val="21"/>
          <w:szCs w:val="21"/>
        </w:rPr>
        <w:fldChar w:fldCharType="end"/>
      </w:r>
    </w:p>
    <w:p>
      <w:pPr>
        <w:pStyle w:val="7"/>
        <w:keepNext w:val="0"/>
        <w:keepLines w:val="0"/>
        <w:pageBreakBefore w:val="0"/>
        <w:tabs>
          <w:tab w:val="right" w:leader="dot" w:pos="8296"/>
        </w:tabs>
        <w:kinsoku/>
        <w:wordWrap/>
        <w:overflowPunct/>
        <w:topLinePunct w:val="0"/>
        <w:autoSpaceDE/>
        <w:autoSpaceDN/>
        <w:bidi w:val="0"/>
        <w:adjustRightInd/>
        <w:snapToGrid/>
        <w:spacing w:before="157" w:beforeLines="50" w:after="157" w:afterLines="50" w:line="400" w:lineRule="exact"/>
        <w:ind w:right="0" w:rightChars="0" w:firstLine="0" w:firstLineChars="0"/>
        <w:textAlignment w:val="auto"/>
        <w:outlineLvl w:val="9"/>
        <w:rPr>
          <w:rFonts w:ascii="宋体" w:hAnsi="宋体" w:eastAsia="宋体"/>
          <w:kern w:val="2"/>
          <w:sz w:val="21"/>
          <w:szCs w:val="21"/>
        </w:rPr>
      </w:pPr>
      <w:r>
        <w:rPr>
          <w:sz w:val="21"/>
          <w:szCs w:val="21"/>
        </w:rPr>
        <w:fldChar w:fldCharType="begin"/>
      </w:r>
      <w:r>
        <w:rPr>
          <w:sz w:val="21"/>
          <w:szCs w:val="21"/>
        </w:rPr>
        <w:instrText xml:space="preserve"> HYPERLINK \l "_Toc498282957" </w:instrText>
      </w:r>
      <w:r>
        <w:rPr>
          <w:sz w:val="21"/>
          <w:szCs w:val="21"/>
        </w:rPr>
        <w:fldChar w:fldCharType="separate"/>
      </w:r>
      <w:r>
        <w:rPr>
          <w:rStyle w:val="10"/>
          <w:rFonts w:ascii="宋体" w:hAnsi="宋体" w:eastAsia="宋体"/>
          <w:sz w:val="21"/>
          <w:szCs w:val="21"/>
        </w:rPr>
        <w:t>六、作为推荐性标准的建议</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_Toc498282957 \h </w:instrText>
      </w:r>
      <w:r>
        <w:rPr>
          <w:rFonts w:ascii="宋体" w:hAnsi="宋体" w:eastAsia="宋体"/>
          <w:sz w:val="21"/>
          <w:szCs w:val="21"/>
        </w:rPr>
        <w:fldChar w:fldCharType="separate"/>
      </w:r>
      <w:r>
        <w:rPr>
          <w:rFonts w:ascii="宋体" w:hAnsi="宋体" w:eastAsia="宋体"/>
          <w:sz w:val="21"/>
          <w:szCs w:val="21"/>
        </w:rPr>
        <w:t>7</w:t>
      </w:r>
      <w:r>
        <w:rPr>
          <w:rFonts w:ascii="宋体" w:hAnsi="宋体" w:eastAsia="宋体"/>
          <w:sz w:val="21"/>
          <w:szCs w:val="21"/>
        </w:rPr>
        <w:fldChar w:fldCharType="end"/>
      </w:r>
      <w:r>
        <w:rPr>
          <w:rFonts w:ascii="宋体" w:hAnsi="宋体" w:eastAsia="宋体"/>
          <w:sz w:val="21"/>
          <w:szCs w:val="21"/>
        </w:rPr>
        <w:fldChar w:fldCharType="end"/>
      </w:r>
    </w:p>
    <w:p>
      <w:pPr>
        <w:pStyle w:val="7"/>
        <w:keepNext w:val="0"/>
        <w:keepLines w:val="0"/>
        <w:pageBreakBefore w:val="0"/>
        <w:tabs>
          <w:tab w:val="right" w:leader="dot" w:pos="8296"/>
        </w:tabs>
        <w:kinsoku/>
        <w:wordWrap/>
        <w:overflowPunct/>
        <w:topLinePunct w:val="0"/>
        <w:autoSpaceDE/>
        <w:autoSpaceDN/>
        <w:bidi w:val="0"/>
        <w:adjustRightInd/>
        <w:snapToGrid/>
        <w:spacing w:before="157" w:beforeLines="50" w:after="157" w:afterLines="50" w:line="400" w:lineRule="exact"/>
        <w:ind w:right="0" w:rightChars="0" w:firstLine="0" w:firstLineChars="0"/>
        <w:textAlignment w:val="auto"/>
        <w:outlineLvl w:val="9"/>
        <w:rPr>
          <w:rFonts w:ascii="宋体" w:hAnsi="宋体" w:eastAsia="宋体"/>
          <w:kern w:val="2"/>
          <w:sz w:val="21"/>
          <w:szCs w:val="21"/>
        </w:rPr>
      </w:pPr>
      <w:r>
        <w:rPr>
          <w:sz w:val="21"/>
          <w:szCs w:val="21"/>
        </w:rPr>
        <w:fldChar w:fldCharType="begin"/>
      </w:r>
      <w:r>
        <w:rPr>
          <w:sz w:val="21"/>
          <w:szCs w:val="21"/>
        </w:rPr>
        <w:instrText xml:space="preserve"> HYPERLINK \l "_Toc498282958" </w:instrText>
      </w:r>
      <w:r>
        <w:rPr>
          <w:sz w:val="21"/>
          <w:szCs w:val="21"/>
        </w:rPr>
        <w:fldChar w:fldCharType="separate"/>
      </w:r>
      <w:r>
        <w:rPr>
          <w:rStyle w:val="10"/>
          <w:rFonts w:ascii="宋体" w:hAnsi="宋体" w:eastAsia="宋体"/>
          <w:sz w:val="21"/>
          <w:szCs w:val="21"/>
        </w:rPr>
        <w:t>七、贯彻指南的要求和措施建议</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_Toc498282958 \h </w:instrText>
      </w:r>
      <w:r>
        <w:rPr>
          <w:rFonts w:ascii="宋体" w:hAnsi="宋体" w:eastAsia="宋体"/>
          <w:sz w:val="21"/>
          <w:szCs w:val="21"/>
        </w:rPr>
        <w:fldChar w:fldCharType="separate"/>
      </w:r>
      <w:r>
        <w:rPr>
          <w:rFonts w:ascii="宋体" w:hAnsi="宋体" w:eastAsia="宋体"/>
          <w:sz w:val="21"/>
          <w:szCs w:val="21"/>
        </w:rPr>
        <w:t>9</w:t>
      </w:r>
      <w:r>
        <w:rPr>
          <w:rFonts w:ascii="宋体" w:hAnsi="宋体" w:eastAsia="宋体"/>
          <w:sz w:val="21"/>
          <w:szCs w:val="21"/>
        </w:rPr>
        <w:fldChar w:fldCharType="end"/>
      </w:r>
      <w:r>
        <w:rPr>
          <w:rFonts w:ascii="宋体" w:hAnsi="宋体" w:eastAsia="宋体"/>
          <w:sz w:val="21"/>
          <w:szCs w:val="21"/>
        </w:rPr>
        <w:fldChar w:fldCharType="end"/>
      </w:r>
    </w:p>
    <w:p>
      <w:pPr>
        <w:pStyle w:val="7"/>
        <w:keepNext w:val="0"/>
        <w:keepLines w:val="0"/>
        <w:pageBreakBefore w:val="0"/>
        <w:tabs>
          <w:tab w:val="right" w:leader="dot" w:pos="8296"/>
        </w:tabs>
        <w:kinsoku/>
        <w:wordWrap/>
        <w:overflowPunct/>
        <w:topLinePunct w:val="0"/>
        <w:autoSpaceDE/>
        <w:autoSpaceDN/>
        <w:bidi w:val="0"/>
        <w:adjustRightInd/>
        <w:snapToGrid/>
        <w:spacing w:before="157" w:beforeLines="50" w:after="157" w:afterLines="50" w:line="400" w:lineRule="exact"/>
        <w:ind w:right="0" w:rightChars="0" w:firstLine="0" w:firstLineChars="0"/>
        <w:textAlignment w:val="auto"/>
        <w:outlineLvl w:val="9"/>
        <w:rPr>
          <w:rFonts w:ascii="宋体" w:hAnsi="宋体" w:eastAsia="宋体"/>
          <w:kern w:val="2"/>
          <w:sz w:val="21"/>
          <w:szCs w:val="21"/>
        </w:rPr>
      </w:pPr>
      <w:r>
        <w:rPr>
          <w:sz w:val="21"/>
          <w:szCs w:val="21"/>
        </w:rPr>
        <w:fldChar w:fldCharType="begin"/>
      </w:r>
      <w:r>
        <w:rPr>
          <w:sz w:val="21"/>
          <w:szCs w:val="21"/>
        </w:rPr>
        <w:instrText xml:space="preserve"> HYPERLINK \l "_Toc498282959" </w:instrText>
      </w:r>
      <w:r>
        <w:rPr>
          <w:sz w:val="21"/>
          <w:szCs w:val="21"/>
        </w:rPr>
        <w:fldChar w:fldCharType="separate"/>
      </w:r>
      <w:r>
        <w:rPr>
          <w:rStyle w:val="10"/>
          <w:rFonts w:ascii="宋体" w:hAnsi="宋体" w:eastAsia="宋体"/>
          <w:sz w:val="21"/>
          <w:szCs w:val="21"/>
        </w:rPr>
        <w:t>八、其他应予说明的事项</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_Toc498282959 \h </w:instrText>
      </w:r>
      <w:r>
        <w:rPr>
          <w:rFonts w:ascii="宋体" w:hAnsi="宋体" w:eastAsia="宋体"/>
          <w:sz w:val="21"/>
          <w:szCs w:val="21"/>
        </w:rPr>
        <w:fldChar w:fldCharType="separate"/>
      </w:r>
      <w:r>
        <w:rPr>
          <w:rFonts w:ascii="宋体" w:hAnsi="宋体" w:eastAsia="宋体"/>
          <w:sz w:val="21"/>
          <w:szCs w:val="21"/>
        </w:rPr>
        <w:t>9</w:t>
      </w:r>
      <w:r>
        <w:rPr>
          <w:rFonts w:ascii="宋体" w:hAnsi="宋体" w:eastAsia="宋体"/>
          <w:sz w:val="21"/>
          <w:szCs w:val="21"/>
        </w:rPr>
        <w:fldChar w:fldCharType="end"/>
      </w:r>
      <w:r>
        <w:rPr>
          <w:rFonts w:ascii="宋体" w:hAnsi="宋体" w:eastAsia="宋体"/>
          <w:sz w:val="21"/>
          <w:szCs w:val="21"/>
        </w:rPr>
        <w:fldChar w:fldCharType="end"/>
      </w:r>
    </w:p>
    <w:p>
      <w:pPr>
        <w:pStyle w:val="7"/>
        <w:keepNext w:val="0"/>
        <w:keepLines w:val="0"/>
        <w:pageBreakBefore w:val="0"/>
        <w:tabs>
          <w:tab w:val="right" w:leader="dot" w:pos="8296"/>
        </w:tabs>
        <w:kinsoku/>
        <w:wordWrap/>
        <w:overflowPunct/>
        <w:topLinePunct w:val="0"/>
        <w:autoSpaceDE/>
        <w:autoSpaceDN/>
        <w:bidi w:val="0"/>
        <w:adjustRightInd/>
        <w:snapToGrid/>
        <w:spacing w:before="157" w:beforeLines="50" w:after="157" w:afterLines="50" w:line="400" w:lineRule="exact"/>
        <w:ind w:right="0" w:rightChars="0" w:firstLine="0" w:firstLineChars="0"/>
        <w:textAlignment w:val="auto"/>
        <w:outlineLvl w:val="9"/>
        <w:rPr>
          <w:rFonts w:ascii="宋体" w:hAnsi="宋体" w:eastAsia="宋体"/>
          <w:kern w:val="2"/>
          <w:sz w:val="21"/>
          <w:szCs w:val="21"/>
        </w:rPr>
      </w:pPr>
      <w:r>
        <w:rPr>
          <w:sz w:val="21"/>
          <w:szCs w:val="21"/>
        </w:rPr>
        <w:fldChar w:fldCharType="begin"/>
      </w:r>
      <w:r>
        <w:rPr>
          <w:sz w:val="21"/>
          <w:szCs w:val="21"/>
        </w:rPr>
        <w:instrText xml:space="preserve"> HYPERLINK \l "_Toc498282960" </w:instrText>
      </w:r>
      <w:r>
        <w:rPr>
          <w:sz w:val="21"/>
          <w:szCs w:val="21"/>
        </w:rPr>
        <w:fldChar w:fldCharType="separate"/>
      </w:r>
      <w:r>
        <w:rPr>
          <w:rStyle w:val="10"/>
          <w:rFonts w:ascii="宋体" w:hAnsi="宋体" w:eastAsia="宋体"/>
          <w:sz w:val="21"/>
          <w:szCs w:val="21"/>
        </w:rPr>
        <w:t>附件</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_Toc498282960 \h </w:instrText>
      </w:r>
      <w:r>
        <w:rPr>
          <w:rFonts w:ascii="宋体" w:hAnsi="宋体" w:eastAsia="宋体"/>
          <w:sz w:val="21"/>
          <w:szCs w:val="21"/>
        </w:rPr>
        <w:fldChar w:fldCharType="separate"/>
      </w:r>
      <w:r>
        <w:rPr>
          <w:rFonts w:ascii="宋体" w:hAnsi="宋体" w:eastAsia="宋体"/>
          <w:sz w:val="21"/>
          <w:szCs w:val="21"/>
        </w:rPr>
        <w:t>11</w:t>
      </w:r>
      <w:r>
        <w:rPr>
          <w:rFonts w:ascii="宋体" w:hAnsi="宋体" w:eastAsia="宋体"/>
          <w:sz w:val="21"/>
          <w:szCs w:val="21"/>
        </w:rPr>
        <w:fldChar w:fldCharType="end"/>
      </w:r>
      <w:r>
        <w:rPr>
          <w:rFonts w:ascii="宋体" w:hAnsi="宋体" w:eastAsia="宋体"/>
          <w:sz w:val="21"/>
          <w:szCs w:val="21"/>
        </w:rPr>
        <w:fldChar w:fldCharType="end"/>
      </w:r>
    </w:p>
    <w:p>
      <w:pPr>
        <w:pStyle w:val="8"/>
        <w:keepNext w:val="0"/>
        <w:keepLines w:val="0"/>
        <w:pageBreakBefore w:val="0"/>
        <w:tabs>
          <w:tab w:val="right" w:leader="dot" w:pos="8296"/>
        </w:tabs>
        <w:kinsoku/>
        <w:wordWrap/>
        <w:overflowPunct/>
        <w:topLinePunct w:val="0"/>
        <w:autoSpaceDE/>
        <w:autoSpaceDN/>
        <w:bidi w:val="0"/>
        <w:adjustRightInd/>
        <w:snapToGrid/>
        <w:spacing w:before="157" w:beforeLines="50" w:after="157" w:afterLines="50" w:line="400" w:lineRule="exact"/>
        <w:ind w:right="0" w:rightChars="0" w:firstLine="0" w:firstLineChars="0"/>
        <w:textAlignment w:val="auto"/>
        <w:outlineLvl w:val="9"/>
        <w:rPr>
          <w:rFonts w:ascii="宋体" w:hAnsi="宋体" w:eastAsia="宋体"/>
          <w:kern w:val="2"/>
          <w:sz w:val="21"/>
          <w:szCs w:val="21"/>
        </w:rPr>
      </w:pPr>
      <w:r>
        <w:rPr>
          <w:sz w:val="21"/>
          <w:szCs w:val="21"/>
        </w:rPr>
        <w:fldChar w:fldCharType="begin"/>
      </w:r>
      <w:r>
        <w:rPr>
          <w:sz w:val="21"/>
          <w:szCs w:val="21"/>
        </w:rPr>
        <w:instrText xml:space="preserve"> HYPERLINK \l "_Toc498282961" </w:instrText>
      </w:r>
      <w:r>
        <w:rPr>
          <w:sz w:val="21"/>
          <w:szCs w:val="21"/>
        </w:rPr>
        <w:fldChar w:fldCharType="separate"/>
      </w:r>
      <w:r>
        <w:rPr>
          <w:rStyle w:val="10"/>
          <w:rFonts w:ascii="宋体" w:hAnsi="宋体" w:eastAsia="宋体"/>
          <w:sz w:val="21"/>
          <w:szCs w:val="21"/>
        </w:rPr>
        <w:t>附件1：调查问卷报告</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_Toc498282961 \h </w:instrText>
      </w:r>
      <w:r>
        <w:rPr>
          <w:rFonts w:ascii="宋体" w:hAnsi="宋体" w:eastAsia="宋体"/>
          <w:sz w:val="21"/>
          <w:szCs w:val="21"/>
        </w:rPr>
        <w:fldChar w:fldCharType="separate"/>
      </w:r>
      <w:r>
        <w:rPr>
          <w:rFonts w:ascii="宋体" w:hAnsi="宋体" w:eastAsia="宋体"/>
          <w:sz w:val="21"/>
          <w:szCs w:val="21"/>
        </w:rPr>
        <w:t>11</w:t>
      </w:r>
      <w:r>
        <w:rPr>
          <w:rFonts w:ascii="宋体" w:hAnsi="宋体" w:eastAsia="宋体"/>
          <w:sz w:val="21"/>
          <w:szCs w:val="21"/>
        </w:rPr>
        <w:fldChar w:fldCharType="end"/>
      </w:r>
      <w:r>
        <w:rPr>
          <w:rFonts w:ascii="宋体" w:hAnsi="宋体" w:eastAsia="宋体"/>
          <w:sz w:val="21"/>
          <w:szCs w:val="21"/>
        </w:rPr>
        <w:fldChar w:fldCharType="end"/>
      </w:r>
    </w:p>
    <w:p>
      <w:pPr>
        <w:pStyle w:val="8"/>
        <w:keepNext w:val="0"/>
        <w:keepLines w:val="0"/>
        <w:pageBreakBefore w:val="0"/>
        <w:tabs>
          <w:tab w:val="right" w:leader="dot" w:pos="8296"/>
        </w:tabs>
        <w:kinsoku/>
        <w:wordWrap/>
        <w:overflowPunct/>
        <w:topLinePunct w:val="0"/>
        <w:autoSpaceDE/>
        <w:autoSpaceDN/>
        <w:bidi w:val="0"/>
        <w:adjustRightInd/>
        <w:snapToGrid/>
        <w:spacing w:before="157" w:beforeLines="50" w:after="157" w:afterLines="50" w:line="400" w:lineRule="exact"/>
        <w:ind w:right="0" w:rightChars="0" w:firstLine="0" w:firstLineChars="0"/>
        <w:textAlignment w:val="auto"/>
        <w:outlineLvl w:val="9"/>
        <w:rPr>
          <w:rFonts w:ascii="宋体" w:hAnsi="宋体" w:eastAsia="宋体"/>
          <w:kern w:val="2"/>
          <w:sz w:val="21"/>
          <w:szCs w:val="21"/>
        </w:rPr>
      </w:pPr>
      <w:r>
        <w:rPr>
          <w:sz w:val="21"/>
          <w:szCs w:val="21"/>
        </w:rPr>
        <w:fldChar w:fldCharType="begin"/>
      </w:r>
      <w:r>
        <w:rPr>
          <w:sz w:val="21"/>
          <w:szCs w:val="21"/>
        </w:rPr>
        <w:instrText xml:space="preserve"> HYPERLINK \l "_Toc498282962" </w:instrText>
      </w:r>
      <w:r>
        <w:rPr>
          <w:sz w:val="21"/>
          <w:szCs w:val="21"/>
        </w:rPr>
        <w:fldChar w:fldCharType="separate"/>
      </w:r>
      <w:r>
        <w:rPr>
          <w:rStyle w:val="10"/>
          <w:rFonts w:ascii="宋体" w:hAnsi="宋体" w:eastAsia="宋体"/>
          <w:sz w:val="21"/>
          <w:szCs w:val="21"/>
        </w:rPr>
        <w:t>附件2：指南初稿论证会会议纪要</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_Toc498282962 \h </w:instrText>
      </w:r>
      <w:r>
        <w:rPr>
          <w:rFonts w:ascii="宋体" w:hAnsi="宋体" w:eastAsia="宋体"/>
          <w:sz w:val="21"/>
          <w:szCs w:val="21"/>
        </w:rPr>
        <w:fldChar w:fldCharType="separate"/>
      </w:r>
      <w:r>
        <w:rPr>
          <w:rFonts w:ascii="宋体" w:hAnsi="宋体" w:eastAsia="宋体"/>
          <w:sz w:val="21"/>
          <w:szCs w:val="21"/>
        </w:rPr>
        <w:t>12</w:t>
      </w:r>
      <w:r>
        <w:rPr>
          <w:rFonts w:ascii="宋体" w:hAnsi="宋体" w:eastAsia="宋体"/>
          <w:sz w:val="21"/>
          <w:szCs w:val="21"/>
        </w:rPr>
        <w:fldChar w:fldCharType="end"/>
      </w:r>
      <w:r>
        <w:rPr>
          <w:rFonts w:ascii="宋体" w:hAnsi="宋体" w:eastAsia="宋体"/>
          <w:sz w:val="21"/>
          <w:szCs w:val="21"/>
        </w:rPr>
        <w:fldChar w:fldCharType="end"/>
      </w:r>
    </w:p>
    <w:p>
      <w:pPr>
        <w:pStyle w:val="8"/>
        <w:keepNext w:val="0"/>
        <w:keepLines w:val="0"/>
        <w:pageBreakBefore w:val="0"/>
        <w:tabs>
          <w:tab w:val="right" w:leader="dot" w:pos="8296"/>
        </w:tabs>
        <w:kinsoku/>
        <w:wordWrap/>
        <w:overflowPunct/>
        <w:topLinePunct w:val="0"/>
        <w:autoSpaceDE/>
        <w:autoSpaceDN/>
        <w:bidi w:val="0"/>
        <w:adjustRightInd/>
        <w:snapToGrid/>
        <w:spacing w:before="157" w:beforeLines="50" w:after="157" w:afterLines="50" w:line="400" w:lineRule="exact"/>
        <w:ind w:right="0" w:rightChars="0" w:firstLine="0" w:firstLineChars="0"/>
        <w:textAlignment w:val="auto"/>
        <w:outlineLvl w:val="9"/>
        <w:rPr>
          <w:rFonts w:ascii="宋体" w:hAnsi="宋体" w:eastAsia="宋体"/>
          <w:kern w:val="2"/>
          <w:sz w:val="21"/>
          <w:szCs w:val="21"/>
        </w:rPr>
      </w:pPr>
      <w:r>
        <w:rPr>
          <w:sz w:val="21"/>
          <w:szCs w:val="21"/>
        </w:rPr>
        <w:fldChar w:fldCharType="begin"/>
      </w:r>
      <w:r>
        <w:rPr>
          <w:sz w:val="21"/>
          <w:szCs w:val="21"/>
        </w:rPr>
        <w:instrText xml:space="preserve"> HYPERLINK \l "_Toc498282963" </w:instrText>
      </w:r>
      <w:r>
        <w:rPr>
          <w:sz w:val="21"/>
          <w:szCs w:val="21"/>
        </w:rPr>
        <w:fldChar w:fldCharType="separate"/>
      </w:r>
      <w:r>
        <w:rPr>
          <w:rStyle w:val="10"/>
          <w:rFonts w:ascii="宋体" w:hAnsi="宋体" w:eastAsia="宋体"/>
          <w:sz w:val="21"/>
          <w:szCs w:val="21"/>
        </w:rPr>
        <w:t>附件3：同行征求意见反馈总结</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_Toc498282963 \h </w:instrText>
      </w:r>
      <w:r>
        <w:rPr>
          <w:rFonts w:ascii="宋体" w:hAnsi="宋体" w:eastAsia="宋体"/>
          <w:sz w:val="21"/>
          <w:szCs w:val="21"/>
        </w:rPr>
        <w:fldChar w:fldCharType="separate"/>
      </w:r>
      <w:r>
        <w:rPr>
          <w:rFonts w:ascii="宋体" w:hAnsi="宋体" w:eastAsia="宋体"/>
          <w:sz w:val="21"/>
          <w:szCs w:val="21"/>
        </w:rPr>
        <w:t>15</w:t>
      </w:r>
      <w:r>
        <w:rPr>
          <w:rFonts w:ascii="宋体" w:hAnsi="宋体" w:eastAsia="宋体"/>
          <w:sz w:val="21"/>
          <w:szCs w:val="21"/>
        </w:rPr>
        <w:fldChar w:fldCharType="end"/>
      </w:r>
      <w:r>
        <w:rPr>
          <w:rFonts w:ascii="宋体" w:hAnsi="宋体" w:eastAsia="宋体"/>
          <w:sz w:val="21"/>
          <w:szCs w:val="21"/>
        </w:rPr>
        <w:fldChar w:fldCharType="end"/>
      </w:r>
    </w:p>
    <w:p>
      <w:pPr>
        <w:pStyle w:val="8"/>
        <w:keepNext w:val="0"/>
        <w:keepLines w:val="0"/>
        <w:pageBreakBefore w:val="0"/>
        <w:tabs>
          <w:tab w:val="right" w:leader="dot" w:pos="8296"/>
        </w:tabs>
        <w:kinsoku/>
        <w:wordWrap/>
        <w:overflowPunct/>
        <w:topLinePunct w:val="0"/>
        <w:autoSpaceDE/>
        <w:autoSpaceDN/>
        <w:bidi w:val="0"/>
        <w:adjustRightInd/>
        <w:snapToGrid/>
        <w:spacing w:before="157" w:beforeLines="50" w:after="157" w:afterLines="50" w:line="400" w:lineRule="exact"/>
        <w:ind w:right="0" w:rightChars="0" w:firstLine="0" w:firstLineChars="0"/>
        <w:textAlignment w:val="auto"/>
        <w:outlineLvl w:val="9"/>
        <w:rPr>
          <w:rFonts w:ascii="宋体" w:hAnsi="宋体" w:eastAsia="宋体"/>
          <w:kern w:val="2"/>
          <w:sz w:val="21"/>
          <w:szCs w:val="21"/>
        </w:rPr>
      </w:pPr>
      <w:r>
        <w:rPr>
          <w:sz w:val="21"/>
          <w:szCs w:val="21"/>
        </w:rPr>
        <w:fldChar w:fldCharType="begin"/>
      </w:r>
      <w:r>
        <w:rPr>
          <w:sz w:val="21"/>
          <w:szCs w:val="21"/>
        </w:rPr>
        <w:instrText xml:space="preserve"> HYPERLINK \l "_Toc498282964" </w:instrText>
      </w:r>
      <w:r>
        <w:rPr>
          <w:sz w:val="21"/>
          <w:szCs w:val="21"/>
        </w:rPr>
        <w:fldChar w:fldCharType="separate"/>
      </w:r>
      <w:r>
        <w:rPr>
          <w:rStyle w:val="10"/>
          <w:rFonts w:ascii="宋体" w:hAnsi="宋体" w:eastAsia="宋体"/>
          <w:sz w:val="21"/>
          <w:szCs w:val="21"/>
        </w:rPr>
        <w:t>附件4：质量方法学评价总结</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_Toc498282964 \h </w:instrText>
      </w:r>
      <w:r>
        <w:rPr>
          <w:rFonts w:ascii="宋体" w:hAnsi="宋体" w:eastAsia="宋体"/>
          <w:sz w:val="21"/>
          <w:szCs w:val="21"/>
        </w:rPr>
        <w:fldChar w:fldCharType="separate"/>
      </w:r>
      <w:r>
        <w:rPr>
          <w:rFonts w:ascii="宋体" w:hAnsi="宋体" w:eastAsia="宋体"/>
          <w:sz w:val="21"/>
          <w:szCs w:val="21"/>
        </w:rPr>
        <w:t>21</w:t>
      </w:r>
      <w:r>
        <w:rPr>
          <w:rFonts w:ascii="宋体" w:hAnsi="宋体" w:eastAsia="宋体"/>
          <w:sz w:val="21"/>
          <w:szCs w:val="21"/>
        </w:rPr>
        <w:fldChar w:fldCharType="end"/>
      </w:r>
      <w:r>
        <w:rPr>
          <w:rFonts w:ascii="宋体" w:hAnsi="宋体" w:eastAsia="宋体"/>
          <w:sz w:val="21"/>
          <w:szCs w:val="21"/>
        </w:rPr>
        <w:fldChar w:fldCharType="end"/>
      </w:r>
    </w:p>
    <w:p>
      <w:pPr>
        <w:pStyle w:val="8"/>
        <w:keepNext w:val="0"/>
        <w:keepLines w:val="0"/>
        <w:pageBreakBefore w:val="0"/>
        <w:tabs>
          <w:tab w:val="right" w:leader="dot" w:pos="8296"/>
        </w:tabs>
        <w:kinsoku/>
        <w:wordWrap/>
        <w:overflowPunct/>
        <w:topLinePunct w:val="0"/>
        <w:autoSpaceDE/>
        <w:autoSpaceDN/>
        <w:bidi w:val="0"/>
        <w:adjustRightInd/>
        <w:snapToGrid/>
        <w:spacing w:before="157" w:beforeLines="50" w:after="157" w:afterLines="50" w:line="400" w:lineRule="exact"/>
        <w:ind w:right="0" w:rightChars="0" w:firstLine="0" w:firstLineChars="0"/>
        <w:textAlignment w:val="auto"/>
        <w:outlineLvl w:val="9"/>
        <w:rPr>
          <w:rFonts w:ascii="宋体" w:hAnsi="宋体" w:eastAsia="宋体"/>
          <w:kern w:val="2"/>
          <w:sz w:val="21"/>
          <w:szCs w:val="21"/>
        </w:rPr>
      </w:pPr>
      <w:r>
        <w:rPr>
          <w:sz w:val="21"/>
          <w:szCs w:val="21"/>
        </w:rPr>
        <w:fldChar w:fldCharType="begin"/>
      </w:r>
      <w:r>
        <w:rPr>
          <w:sz w:val="21"/>
          <w:szCs w:val="21"/>
        </w:rPr>
        <w:instrText xml:space="preserve"> HYPERLINK \l "_Toc498282965" </w:instrText>
      </w:r>
      <w:r>
        <w:rPr>
          <w:sz w:val="21"/>
          <w:szCs w:val="21"/>
        </w:rPr>
        <w:fldChar w:fldCharType="separate"/>
      </w:r>
      <w:r>
        <w:rPr>
          <w:rStyle w:val="10"/>
          <w:rFonts w:ascii="宋体" w:hAnsi="宋体" w:eastAsia="宋体"/>
          <w:sz w:val="21"/>
          <w:szCs w:val="21"/>
        </w:rPr>
        <w:t>附件5：临床一致性评价总结</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_Toc498282965 \h </w:instrText>
      </w:r>
      <w:r>
        <w:rPr>
          <w:rFonts w:ascii="宋体" w:hAnsi="宋体" w:eastAsia="宋体"/>
          <w:sz w:val="21"/>
          <w:szCs w:val="21"/>
        </w:rPr>
        <w:fldChar w:fldCharType="separate"/>
      </w:r>
      <w:r>
        <w:rPr>
          <w:rFonts w:ascii="宋体" w:hAnsi="宋体" w:eastAsia="宋体"/>
          <w:sz w:val="21"/>
          <w:szCs w:val="21"/>
        </w:rPr>
        <w:t>22</w:t>
      </w:r>
      <w:r>
        <w:rPr>
          <w:rFonts w:ascii="宋体" w:hAnsi="宋体" w:eastAsia="宋体"/>
          <w:sz w:val="21"/>
          <w:szCs w:val="21"/>
        </w:rPr>
        <w:fldChar w:fldCharType="end"/>
      </w:r>
      <w:r>
        <w:rPr>
          <w:rFonts w:ascii="宋体" w:hAnsi="宋体" w:eastAsia="宋体"/>
          <w:sz w:val="21"/>
          <w:szCs w:val="21"/>
        </w:rPr>
        <w:fldChar w:fldCharType="end"/>
      </w:r>
    </w:p>
    <w:p>
      <w:pPr>
        <w:pStyle w:val="8"/>
        <w:keepNext w:val="0"/>
        <w:keepLines w:val="0"/>
        <w:pageBreakBefore w:val="0"/>
        <w:tabs>
          <w:tab w:val="right" w:leader="dot" w:pos="8296"/>
        </w:tabs>
        <w:kinsoku/>
        <w:wordWrap/>
        <w:overflowPunct/>
        <w:topLinePunct w:val="0"/>
        <w:autoSpaceDE/>
        <w:autoSpaceDN/>
        <w:bidi w:val="0"/>
        <w:adjustRightInd/>
        <w:snapToGrid/>
        <w:spacing w:before="157" w:beforeLines="50" w:after="157" w:afterLines="50" w:line="400" w:lineRule="exact"/>
        <w:ind w:right="0" w:rightChars="0" w:firstLine="0" w:firstLineChars="0"/>
        <w:textAlignment w:val="auto"/>
        <w:outlineLvl w:val="9"/>
        <w:rPr>
          <w:rFonts w:cstheme="minorBidi"/>
          <w:kern w:val="2"/>
          <w:sz w:val="21"/>
          <w:szCs w:val="21"/>
        </w:rPr>
      </w:pPr>
      <w:r>
        <w:rPr>
          <w:sz w:val="21"/>
          <w:szCs w:val="21"/>
        </w:rPr>
        <w:fldChar w:fldCharType="begin"/>
      </w:r>
      <w:r>
        <w:rPr>
          <w:sz w:val="21"/>
          <w:szCs w:val="21"/>
        </w:rPr>
        <w:instrText xml:space="preserve"> HYPERLINK \l "_Toc498282966" </w:instrText>
      </w:r>
      <w:r>
        <w:rPr>
          <w:sz w:val="21"/>
          <w:szCs w:val="21"/>
        </w:rPr>
        <w:fldChar w:fldCharType="separate"/>
      </w:r>
      <w:r>
        <w:rPr>
          <w:rStyle w:val="10"/>
          <w:rFonts w:ascii="宋体" w:hAnsi="宋体" w:eastAsia="宋体"/>
          <w:sz w:val="21"/>
          <w:szCs w:val="21"/>
        </w:rPr>
        <w:t>附件6：专家指导组审核总结</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_Toc498282966 \h </w:instrText>
      </w:r>
      <w:r>
        <w:rPr>
          <w:rFonts w:ascii="宋体" w:hAnsi="宋体" w:eastAsia="宋体"/>
          <w:sz w:val="21"/>
          <w:szCs w:val="21"/>
        </w:rPr>
        <w:fldChar w:fldCharType="separate"/>
      </w:r>
      <w:r>
        <w:rPr>
          <w:rFonts w:ascii="宋体" w:hAnsi="宋体" w:eastAsia="宋体"/>
          <w:sz w:val="21"/>
          <w:szCs w:val="21"/>
        </w:rPr>
        <w:t>23</w:t>
      </w:r>
      <w:r>
        <w:rPr>
          <w:rFonts w:ascii="宋体" w:hAnsi="宋体" w:eastAsia="宋体"/>
          <w:sz w:val="21"/>
          <w:szCs w:val="21"/>
        </w:rPr>
        <w:fldChar w:fldCharType="end"/>
      </w:r>
      <w:r>
        <w:rPr>
          <w:rFonts w:ascii="宋体" w:hAnsi="宋体" w:eastAsia="宋体"/>
          <w:sz w:val="21"/>
          <w:szCs w:val="21"/>
        </w:rPr>
        <w:fldChar w:fldCharType="end"/>
      </w:r>
    </w:p>
    <w:p>
      <w:pPr>
        <w:keepNext w:val="0"/>
        <w:keepLines w:val="0"/>
        <w:pageBreakBefore w:val="0"/>
        <w:kinsoku/>
        <w:wordWrap/>
        <w:overflowPunct/>
        <w:topLinePunct w:val="0"/>
        <w:autoSpaceDE/>
        <w:autoSpaceDN/>
        <w:bidi w:val="0"/>
        <w:adjustRightInd/>
        <w:snapToGrid/>
        <w:spacing w:before="157" w:beforeLines="50" w:after="157" w:afterLines="50" w:line="400" w:lineRule="exact"/>
        <w:ind w:right="0" w:rightChars="0" w:firstLine="0" w:firstLineChars="0"/>
        <w:jc w:val="center"/>
        <w:textAlignment w:val="auto"/>
        <w:outlineLvl w:val="9"/>
        <w:rPr>
          <w:sz w:val="21"/>
          <w:szCs w:val="21"/>
        </w:rPr>
        <w:sectPr>
          <w:pgSz w:w="11906" w:h="16838"/>
          <w:pgMar w:top="1440" w:right="1800" w:bottom="1440" w:left="1800" w:header="851" w:footer="992" w:gutter="0"/>
          <w:pgBorders>
            <w:top w:val="none" w:sz="0" w:space="0"/>
            <w:left w:val="none" w:sz="0" w:space="0"/>
            <w:bottom w:val="none" w:sz="0" w:space="0"/>
            <w:right w:val="none" w:sz="0" w:space="0"/>
          </w:pgBorders>
          <w:pgNumType w:start="1"/>
          <w:cols w:space="720" w:num="1"/>
          <w:titlePg/>
          <w:docGrid w:type="lines" w:linePitch="312" w:charSpace="0"/>
        </w:sectPr>
      </w:pPr>
      <w:r>
        <w:rPr>
          <w:sz w:val="21"/>
          <w:szCs w:val="21"/>
        </w:rPr>
        <w:fldChar w:fldCharType="end"/>
      </w:r>
    </w:p>
    <w:p>
      <w:pPr>
        <w:jc w:val="center"/>
      </w:pPr>
    </w:p>
    <w:p>
      <w:pPr>
        <w:pStyle w:val="2"/>
        <w:pageBreakBefore w:val="0"/>
        <w:widowControl w:val="0"/>
        <w:kinsoku/>
        <w:wordWrap/>
        <w:overflowPunct/>
        <w:topLinePunct w:val="0"/>
        <w:bidi w:val="0"/>
        <w:snapToGrid/>
        <w:spacing w:before="0" w:after="0" w:line="400" w:lineRule="exact"/>
        <w:ind w:left="0" w:leftChars="0" w:right="0" w:rightChars="0"/>
        <w:textAlignment w:val="auto"/>
        <w:rPr>
          <w:rFonts w:hint="eastAsia" w:ascii="仿宋" w:hAnsi="仿宋" w:eastAsia="仿宋" w:cs="仿宋"/>
          <w:color w:val="000000"/>
          <w:sz w:val="24"/>
          <w:szCs w:val="24"/>
        </w:rPr>
      </w:pPr>
      <w:bookmarkStart w:id="0" w:name="_Toc17848"/>
      <w:bookmarkStart w:id="1" w:name="_Toc498282946"/>
      <w:r>
        <w:rPr>
          <w:rStyle w:val="14"/>
          <w:rFonts w:hint="eastAsia" w:ascii="仿宋" w:hAnsi="仿宋" w:eastAsia="仿宋" w:cs="仿宋"/>
          <w:b/>
          <w:bCs/>
          <w:sz w:val="24"/>
          <w:szCs w:val="24"/>
        </w:rPr>
        <w:t>一、工作简况</w:t>
      </w:r>
      <w:bookmarkEnd w:id="0"/>
      <w:bookmarkEnd w:id="1"/>
      <w:r>
        <w:rPr>
          <w:rFonts w:hint="eastAsia" w:ascii="仿宋" w:hAnsi="仿宋" w:eastAsia="仿宋" w:cs="仿宋"/>
          <w:color w:val="000000"/>
          <w:sz w:val="24"/>
          <w:szCs w:val="24"/>
        </w:rPr>
        <w:t xml:space="preserve"> </w:t>
      </w:r>
    </w:p>
    <w:p>
      <w:pPr>
        <w:pStyle w:val="3"/>
        <w:pageBreakBefore w:val="0"/>
        <w:widowControl w:val="0"/>
        <w:kinsoku/>
        <w:wordWrap/>
        <w:overflowPunct/>
        <w:topLinePunct w:val="0"/>
        <w:bidi w:val="0"/>
        <w:snapToGrid/>
        <w:spacing w:before="0" w:after="0" w:line="400" w:lineRule="exact"/>
        <w:ind w:left="0" w:leftChars="0" w:right="0" w:rightChars="0"/>
        <w:textAlignment w:val="auto"/>
        <w:rPr>
          <w:rFonts w:hint="eastAsia" w:ascii="仿宋" w:hAnsi="仿宋" w:eastAsia="仿宋" w:cs="仿宋"/>
          <w:color w:val="000000"/>
          <w:sz w:val="24"/>
          <w:szCs w:val="24"/>
        </w:rPr>
      </w:pPr>
      <w:bookmarkStart w:id="2" w:name="_Toc5678"/>
      <w:bookmarkStart w:id="3" w:name="_Toc498282947"/>
      <w:r>
        <w:rPr>
          <w:rFonts w:hint="eastAsia" w:ascii="仿宋" w:hAnsi="仿宋" w:eastAsia="仿宋" w:cs="仿宋"/>
          <w:sz w:val="24"/>
          <w:szCs w:val="24"/>
        </w:rPr>
        <w:t>1.任务来源</w:t>
      </w:r>
      <w:bookmarkEnd w:id="2"/>
      <w:bookmarkEnd w:id="3"/>
    </w:p>
    <w:p>
      <w:pPr>
        <w:pageBreakBefore w:val="0"/>
        <w:widowControl w:val="0"/>
        <w:kinsoku/>
        <w:wordWrap/>
        <w:overflowPunct/>
        <w:topLinePunct w:val="0"/>
        <w:bidi w:val="0"/>
        <w:snapToGrid/>
        <w:spacing w:line="400" w:lineRule="exact"/>
        <w:ind w:left="0" w:leftChars="0" w:right="0" w:righ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为指导中医临床医师规范地诊断、辨治急性心肌梗死，提高中医辨证论治的临床疗效，广东省中医院承担了《急性心肌梗死中医临床诊疗指南》的制定工作。本指南由国家中医药管理局立项的《2014年中医药部门公共卫生服务补助基资金中医药标准制修订项目》资助，归口于中华中医药学会，在中医临床指南制定专家总指导组和内科专家指导组的指导、监督下实施，于2017年3月起草完成。指南制定过程与任何单位、个人无经济利益关系。 </w:t>
      </w:r>
    </w:p>
    <w:p>
      <w:pPr>
        <w:pageBreakBefore w:val="0"/>
        <w:widowControl w:val="0"/>
        <w:kinsoku/>
        <w:wordWrap/>
        <w:overflowPunct/>
        <w:topLinePunct w:val="0"/>
        <w:bidi w:val="0"/>
        <w:snapToGrid/>
        <w:spacing w:line="400" w:lineRule="exact"/>
        <w:ind w:left="0" w:leftChars="0" w:right="0" w:rightChars="0" w:firstLine="480" w:firstLineChars="200"/>
        <w:jc w:val="left"/>
        <w:textAlignment w:val="auto"/>
        <w:rPr>
          <w:rFonts w:hint="eastAsia" w:ascii="仿宋" w:hAnsi="仿宋" w:eastAsia="仿宋" w:cs="仿宋"/>
          <w:color w:val="000000"/>
          <w:sz w:val="24"/>
          <w:szCs w:val="24"/>
        </w:rPr>
      </w:pPr>
    </w:p>
    <w:p>
      <w:pPr>
        <w:pStyle w:val="3"/>
        <w:pageBreakBefore w:val="0"/>
        <w:widowControl w:val="0"/>
        <w:kinsoku/>
        <w:wordWrap/>
        <w:overflowPunct/>
        <w:topLinePunct w:val="0"/>
        <w:bidi w:val="0"/>
        <w:snapToGrid/>
        <w:spacing w:before="0" w:after="0" w:line="400" w:lineRule="exact"/>
        <w:ind w:left="0" w:leftChars="0" w:right="0" w:rightChars="0"/>
        <w:textAlignment w:val="auto"/>
        <w:rPr>
          <w:rFonts w:hint="eastAsia" w:ascii="仿宋" w:hAnsi="仿宋" w:eastAsia="仿宋" w:cs="仿宋"/>
          <w:bCs/>
          <w:color w:val="000000"/>
          <w:sz w:val="24"/>
          <w:szCs w:val="24"/>
        </w:rPr>
      </w:pPr>
      <w:bookmarkStart w:id="4" w:name="_Toc8192"/>
      <w:bookmarkStart w:id="5" w:name="_Toc498282948"/>
      <w:r>
        <w:rPr>
          <w:rFonts w:hint="eastAsia" w:ascii="仿宋" w:hAnsi="仿宋" w:eastAsia="仿宋" w:cs="仿宋"/>
          <w:sz w:val="24"/>
          <w:szCs w:val="24"/>
        </w:rPr>
        <w:t>2.协作单位</w:t>
      </w:r>
      <w:bookmarkEnd w:id="4"/>
      <w:bookmarkEnd w:id="5"/>
    </w:p>
    <w:p>
      <w:pPr>
        <w:pageBreakBefore w:val="0"/>
        <w:widowControl w:val="0"/>
        <w:kinsoku/>
        <w:wordWrap/>
        <w:overflowPunct/>
        <w:topLinePunct w:val="0"/>
        <w:bidi w:val="0"/>
        <w:snapToGrid/>
        <w:spacing w:line="400" w:lineRule="exact"/>
        <w:ind w:left="0" w:leftChars="0" w:right="0" w:righ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本指南由广东省中医院（广州中医药大学第二附属医院）负责起草，北京中医药大学东方医院、中国中医科学院西苑医院、首都医科大学附属北京中医医院、中国中医科学院广安门医院、北京中医药大学东直门医院、广州中医药大学第一附属医院、长春中医药大学附属医院、成都中医药大学附属医院、上海中医药大学附属曙光医院、天津中医药大学第一附属医院、河南中医药大学第一附属医院、中日友好医院、浙江省中西医结合医院、浙江省中医院、新疆医科大学、安徽中医药大学第一附属医院、辽宁中医药大学附属医院、江西中医药大学附属医院、广西中医药大学第一附属医院、云南省中医院、内蒙古自治区中医医院、徐州市中医院、江门市五邑中医院等共23家单位参加起草完成。</w:t>
      </w:r>
    </w:p>
    <w:p>
      <w:pPr>
        <w:pageBreakBefore w:val="0"/>
        <w:widowControl w:val="0"/>
        <w:kinsoku/>
        <w:wordWrap/>
        <w:overflowPunct/>
        <w:topLinePunct w:val="0"/>
        <w:bidi w:val="0"/>
        <w:snapToGrid/>
        <w:spacing w:line="400" w:lineRule="exact"/>
        <w:ind w:left="0" w:leftChars="0" w:right="0" w:rightChars="0" w:firstLine="480" w:firstLineChars="200"/>
        <w:jc w:val="left"/>
        <w:textAlignment w:val="auto"/>
        <w:rPr>
          <w:rFonts w:hint="eastAsia" w:ascii="仿宋" w:hAnsi="仿宋" w:eastAsia="仿宋" w:cs="仿宋"/>
          <w:color w:val="000000"/>
          <w:sz w:val="24"/>
          <w:szCs w:val="24"/>
        </w:rPr>
      </w:pPr>
    </w:p>
    <w:p>
      <w:pPr>
        <w:pStyle w:val="3"/>
        <w:pageBreakBefore w:val="0"/>
        <w:widowControl w:val="0"/>
        <w:kinsoku/>
        <w:wordWrap/>
        <w:overflowPunct/>
        <w:topLinePunct w:val="0"/>
        <w:bidi w:val="0"/>
        <w:snapToGrid/>
        <w:spacing w:before="0" w:after="0" w:line="400" w:lineRule="exact"/>
        <w:ind w:left="0" w:leftChars="0" w:right="0" w:rightChars="0"/>
        <w:textAlignment w:val="auto"/>
        <w:rPr>
          <w:rFonts w:hint="eastAsia" w:ascii="仿宋" w:hAnsi="仿宋" w:eastAsia="仿宋" w:cs="仿宋"/>
          <w:b w:val="0"/>
          <w:color w:val="000000"/>
          <w:sz w:val="24"/>
          <w:szCs w:val="24"/>
        </w:rPr>
      </w:pPr>
      <w:bookmarkStart w:id="6" w:name="_Toc5407"/>
      <w:bookmarkStart w:id="7" w:name="_Toc498282949"/>
      <w:r>
        <w:rPr>
          <w:rFonts w:hint="eastAsia" w:ascii="仿宋" w:hAnsi="仿宋" w:eastAsia="仿宋" w:cs="仿宋"/>
          <w:b w:val="0"/>
          <w:sz w:val="24"/>
          <w:szCs w:val="24"/>
        </w:rPr>
        <w:t>3.</w:t>
      </w:r>
      <w:r>
        <w:rPr>
          <w:rFonts w:hint="eastAsia" w:ascii="仿宋" w:hAnsi="仿宋" w:eastAsia="仿宋" w:cs="仿宋"/>
          <w:sz w:val="24"/>
          <w:szCs w:val="24"/>
        </w:rPr>
        <w:t>主要工作过程</w:t>
      </w:r>
      <w:bookmarkEnd w:id="6"/>
      <w:bookmarkEnd w:id="7"/>
    </w:p>
    <w:p>
      <w:pPr>
        <w:pageBreakBefore w:val="0"/>
        <w:widowControl w:val="0"/>
        <w:kinsoku/>
        <w:wordWrap/>
        <w:overflowPunct/>
        <w:topLinePunct w:val="0"/>
        <w:bidi w:val="0"/>
        <w:snapToGrid/>
        <w:spacing w:line="400" w:lineRule="exact"/>
        <w:ind w:left="0" w:leftChars="0" w:right="0" w:righ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（1）成立工作组</w:t>
      </w:r>
    </w:p>
    <w:p>
      <w:pPr>
        <w:pageBreakBefore w:val="0"/>
        <w:widowControl w:val="0"/>
        <w:kinsoku/>
        <w:wordWrap/>
        <w:overflowPunct/>
        <w:topLinePunct w:val="0"/>
        <w:bidi w:val="0"/>
        <w:snapToGrid/>
        <w:spacing w:line="400" w:lineRule="exact"/>
        <w:ind w:left="0" w:leftChars="0" w:right="0" w:righ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根据《2015年中医临床诊疗指南和治未病标准制修订项目工作方案》文件要求，于2015年2月成立指南工作组。</w:t>
      </w:r>
    </w:p>
    <w:p>
      <w:pPr>
        <w:pageBreakBefore w:val="0"/>
        <w:widowControl w:val="0"/>
        <w:kinsoku/>
        <w:wordWrap/>
        <w:overflowPunct/>
        <w:topLinePunct w:val="0"/>
        <w:bidi w:val="0"/>
        <w:snapToGrid/>
        <w:spacing w:line="400" w:lineRule="exact"/>
        <w:ind w:left="0" w:leftChars="0" w:right="0" w:righ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组长：丁邦晗  张敏州　林谦</w:t>
      </w:r>
    </w:p>
    <w:p>
      <w:pPr>
        <w:pageBreakBefore w:val="0"/>
        <w:widowControl w:val="0"/>
        <w:kinsoku/>
        <w:wordWrap/>
        <w:overflowPunct/>
        <w:topLinePunct w:val="0"/>
        <w:bidi w:val="0"/>
        <w:snapToGrid/>
        <w:spacing w:line="400" w:lineRule="exact"/>
        <w:ind w:left="1199" w:leftChars="228" w:right="0" w:rightChars="0" w:hanging="720" w:hangingChars="3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成员：</w:t>
      </w:r>
      <w:r>
        <w:rPr>
          <w:rFonts w:hint="eastAsia" w:ascii="仿宋" w:hAnsi="仿宋" w:eastAsia="仿宋" w:cs="仿宋"/>
          <w:color w:val="000000"/>
          <w:sz w:val="24"/>
          <w:szCs w:val="24"/>
          <w:lang w:val="en-US" w:eastAsia="zh-CN"/>
        </w:rPr>
        <w:t>史大卓，刘红旭，李军，王显，吴伟，邓悦，卢云，王肖龙，毛静远，朱明军，史载祥，邓旻，毛威，安冬青，戴小华，李文杰，刘中勇，潘朝锌，叶勇，董琼芬，苏和，张培影，王忠良，杨海玉，邹  旭,郭新峰，刘少南等。</w:t>
      </w:r>
    </w:p>
    <w:p>
      <w:pPr>
        <w:pageBreakBefore w:val="0"/>
        <w:widowControl w:val="0"/>
        <w:kinsoku/>
        <w:wordWrap/>
        <w:overflowPunct/>
        <w:topLinePunct w:val="0"/>
        <w:bidi w:val="0"/>
        <w:snapToGrid/>
        <w:spacing w:line="400" w:lineRule="exact"/>
        <w:ind w:left="0" w:leftChars="0" w:right="0" w:rightChars="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　　秘书：王磊　王大伟</w:t>
      </w:r>
    </w:p>
    <w:p>
      <w:pPr>
        <w:pageBreakBefore w:val="0"/>
        <w:widowControl w:val="0"/>
        <w:kinsoku/>
        <w:wordWrap/>
        <w:overflowPunct/>
        <w:topLinePunct w:val="0"/>
        <w:bidi w:val="0"/>
        <w:snapToGrid/>
        <w:spacing w:line="400" w:lineRule="exact"/>
        <w:ind w:left="0" w:leftChars="0" w:right="0" w:righ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文献检索与评价：刘云涛、廖鹏达、郭权来、秦红等</w:t>
      </w:r>
    </w:p>
    <w:p>
      <w:pPr>
        <w:pageBreakBefore w:val="0"/>
        <w:widowControl w:val="0"/>
        <w:numPr>
          <w:ilvl w:val="0"/>
          <w:numId w:val="1"/>
        </w:numPr>
        <w:kinsoku/>
        <w:wordWrap/>
        <w:overflowPunct/>
        <w:topLinePunct w:val="0"/>
        <w:bidi w:val="0"/>
        <w:snapToGrid/>
        <w:spacing w:line="400" w:lineRule="exact"/>
        <w:ind w:left="0" w:leftChars="0" w:right="0" w:righ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文献检索、评价和初稿形成</w:t>
      </w:r>
    </w:p>
    <w:p>
      <w:pPr>
        <w:pageBreakBefore w:val="0"/>
        <w:widowControl w:val="0"/>
        <w:kinsoku/>
        <w:wordWrap/>
        <w:overflowPunct/>
        <w:topLinePunct w:val="0"/>
        <w:autoSpaceDE w:val="0"/>
        <w:autoSpaceDN w:val="0"/>
        <w:bidi w:val="0"/>
        <w:adjustRightInd w:val="0"/>
        <w:snapToGrid/>
        <w:spacing w:line="400" w:lineRule="exact"/>
        <w:ind w:left="0" w:leftChars="0" w:right="0" w:righ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文献检索：制定文献检索策略（中文检索词：急性心肌梗死、急性心肌梗塞、急性冠脉综合征、非ST段抬高心肌梗死、ST段抬高心肌梗死；真心痛、猝心痛、卒心痛、厥心痛、胸痛、心痛、久心痛、心痹、胸痹；中医、中西医、证候、辨证论治、辨证施治、中药、草药、中成药、方剂、滴丸、胶囊、片剂、注射液、针灸、穴位、艾灸、理疗、推拿、按摩；英文检索词：Myocardial Infarction, Acute Coronary Syndrome；traditional Chinese medicine、traditional Chinese medicine and Western medicine，septic syndrome，syndrome differentiation，Chinese medicine/herb，Chinese patent medicine，acupuncture，acupuncture point，moxibustion，physical therapy，massage Traditional Chinese Medicine, Traditional Chinese Drugs, Traditional Chinese medicine and Western medicine, Chinese Herbal, Syndrome, Syndrome differentiation, Chinese Patent Medicine, Decoction, Droppill/Dropping pill, Capsule, Injection, Acupuncture, Acupuncture Point/Acupoint, Massage, Moxibustion, physical therapy），采取电子检索联合手工检索相结合的方式，系统检索了PubMed、Embase、Cochrane Library、Clinical Trial 4个英文数据库，中国生物医学文献数据库（CBM）、中国知网数据库（CNKI）、维普中文期刊数据库、万方中文期刊数据库、中华医典5个中文数据库，以及《中医内科学》、《实用中医内科学》、《实用血瘀证学》、《邓铁涛论治冠心病》、《中医临床诊治-心血管专科疾病》等现代专著、教科书及全部纳入文献的引文。检索文献类型包括：已有的指南或共识、系统评价或Meta分析、随机对照临床试验（RCT）、其他类型的临床研究如病例对照研究、队列研究、专家经验、个案报道等。</w:t>
      </w:r>
    </w:p>
    <w:p>
      <w:pPr>
        <w:pageBreakBefore w:val="0"/>
        <w:widowControl w:val="0"/>
        <w:kinsoku/>
        <w:wordWrap/>
        <w:overflowPunct/>
        <w:topLinePunct w:val="0"/>
        <w:autoSpaceDE w:val="0"/>
        <w:autoSpaceDN w:val="0"/>
        <w:bidi w:val="0"/>
        <w:adjustRightInd w:val="0"/>
        <w:snapToGrid/>
        <w:spacing w:line="400" w:lineRule="exact"/>
        <w:ind w:left="0" w:leftChars="0" w:right="0" w:righ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文献评价：制定文献纳入及排除标准，对确定纳入的文献根据Cochrane协作组推荐的偏倚风险评估工具（Risk of Bias, ROB）进行质量评价，并采用温哥华格式的文献摘要表对纳入文献进行了结构性的信息提取，以形成最终证据汇总表。参考目前国际上通用的GRADE证据级别与推荐强度评价方法给出证据推荐强度，并做出适当修改。</w:t>
      </w:r>
    </w:p>
    <w:p>
      <w:pPr>
        <w:pageBreakBefore w:val="0"/>
        <w:widowControl w:val="0"/>
        <w:kinsoku/>
        <w:wordWrap/>
        <w:overflowPunct/>
        <w:topLinePunct w:val="0"/>
        <w:autoSpaceDE w:val="0"/>
        <w:autoSpaceDN w:val="0"/>
        <w:bidi w:val="0"/>
        <w:adjustRightInd w:val="0"/>
        <w:snapToGrid/>
        <w:spacing w:line="400" w:lineRule="exact"/>
        <w:ind w:left="0" w:leftChars="0" w:right="0" w:righ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指南初稿起草：参照《中医病证临床实践指南（中医内科）》体例，由秘书组起草《急性心肌梗死中医临床诊疗指南（初稿）》。</w:t>
      </w:r>
    </w:p>
    <w:p>
      <w:pPr>
        <w:pageBreakBefore w:val="0"/>
        <w:widowControl w:val="0"/>
        <w:numPr>
          <w:ilvl w:val="0"/>
          <w:numId w:val="1"/>
        </w:numPr>
        <w:kinsoku/>
        <w:wordWrap/>
        <w:overflowPunct/>
        <w:topLinePunct w:val="0"/>
        <w:bidi w:val="0"/>
        <w:snapToGrid/>
        <w:spacing w:line="400" w:lineRule="exact"/>
        <w:ind w:left="0" w:leftChars="0" w:right="0" w:righ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专家意见征集及专家论证，形成草案</w:t>
      </w:r>
    </w:p>
    <w:p>
      <w:pPr>
        <w:pageBreakBefore w:val="0"/>
        <w:widowControl w:val="0"/>
        <w:kinsoku/>
        <w:wordWrap/>
        <w:overflowPunct/>
        <w:topLinePunct w:val="0"/>
        <w:bidi w:val="0"/>
        <w:snapToGrid/>
        <w:spacing w:line="400" w:lineRule="exact"/>
        <w:ind w:left="0" w:leftChars="0" w:right="0" w:righ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2015年11月，课题组在广州召开了《急性心肌梗死中医临床诊疗指南（初稿）》专家论证会，就指南初稿形成过程及具体内容向20家单位的专家及方法学专家进行了汇报。各临床专家针对指南的整体框架、中医辨证分型、辨证论治、推荐处方、用药剂量及中成药的合理应用等提出了宝贵的意见和建议；方法学专家就证据内容的描述及证据强度、推荐级别给予了规范。会后根据论证会专家意见和建议，工作组对各相关内容进行了补充和修正，形成指南草案。</w:t>
      </w:r>
    </w:p>
    <w:p>
      <w:pPr>
        <w:pageBreakBefore w:val="0"/>
        <w:widowControl w:val="0"/>
        <w:numPr>
          <w:ilvl w:val="0"/>
          <w:numId w:val="1"/>
        </w:numPr>
        <w:kinsoku/>
        <w:wordWrap/>
        <w:overflowPunct/>
        <w:topLinePunct w:val="0"/>
        <w:bidi w:val="0"/>
        <w:snapToGrid/>
        <w:spacing w:line="400" w:lineRule="exact"/>
        <w:ind w:left="0" w:leftChars="0" w:right="0" w:righ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一致性评价，意见广泛再征集</w:t>
      </w:r>
    </w:p>
    <w:p>
      <w:pPr>
        <w:pageBreakBefore w:val="0"/>
        <w:widowControl w:val="0"/>
        <w:kinsoku/>
        <w:wordWrap/>
        <w:overflowPunct/>
        <w:topLinePunct w:val="0"/>
        <w:bidi w:val="0"/>
        <w:snapToGrid/>
        <w:spacing w:line="400" w:lineRule="exact"/>
        <w:ind w:left="0" w:leftChars="0" w:right="0" w:rightChars="0" w:firstLine="63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自2015年12月起，20家课题分中心开始开展《急性心肌梗死中医临床诊疗指南（草案）》的一致性评价工作，即“中医诊疗指南临床应用评价病例调查”，共收到200份评价病例调查表。同时我们对2</w:t>
      </w: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家课题中心的高年主治以上人员进行指南草案的意见再征集工作，各中心同时完成10份指南适用性调查问卷，即“中医诊疗指南适用性调查问卷”，共收到110份适用性调查问卷。我们将汇总的“中医诊疗指南临床应用评价病例调查”、“中医诊疗指南适用性调查问卷”进行总结、归纳、分析、采纳，形成《急性心肌梗死中医临床诊疗指南（专家指导组审核稿）》。</w:t>
      </w:r>
    </w:p>
    <w:p>
      <w:pPr>
        <w:pageBreakBefore w:val="0"/>
        <w:widowControl w:val="0"/>
        <w:numPr>
          <w:ilvl w:val="0"/>
          <w:numId w:val="1"/>
        </w:numPr>
        <w:kinsoku/>
        <w:wordWrap/>
        <w:overflowPunct/>
        <w:topLinePunct w:val="0"/>
        <w:bidi w:val="0"/>
        <w:snapToGrid/>
        <w:spacing w:line="400" w:lineRule="exact"/>
        <w:ind w:left="0" w:leftChars="0" w:right="0" w:righ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专家审核</w:t>
      </w:r>
    </w:p>
    <w:p>
      <w:pPr>
        <w:pageBreakBefore w:val="0"/>
        <w:widowControl w:val="0"/>
        <w:kinsoku/>
        <w:wordWrap/>
        <w:overflowPunct/>
        <w:topLinePunct w:val="0"/>
        <w:bidi w:val="0"/>
        <w:snapToGrid/>
        <w:spacing w:line="400" w:lineRule="exact"/>
        <w:ind w:left="0" w:leftChars="0" w:right="0" w:rightChars="0" w:firstLine="6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2016年12月2日，中医内科临床诊疗指南制修订专家指导组组织专家对《急性心肌梗死中医临床诊疗指南（专家指导组审核稿）》进行了审核，提出了修改意见和建议。工作组根据专家意见再次对指南进行了补充、修正和完善，形成《急性心肌梗死中医临床诊疗指南（公开征求意见稿）》并送交中华中医药学会。</w:t>
      </w:r>
    </w:p>
    <w:p>
      <w:pPr>
        <w:pageBreakBefore w:val="0"/>
        <w:widowControl w:val="0"/>
        <w:kinsoku/>
        <w:wordWrap/>
        <w:overflowPunct/>
        <w:topLinePunct w:val="0"/>
        <w:bidi w:val="0"/>
        <w:snapToGrid/>
        <w:spacing w:line="400" w:lineRule="exact"/>
        <w:ind w:left="0" w:leftChars="0" w:right="0" w:rightChars="0" w:firstLine="600"/>
        <w:jc w:val="left"/>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6</w:t>
      </w:r>
      <w:r>
        <w:rPr>
          <w:rFonts w:hint="eastAsia" w:ascii="仿宋" w:hAnsi="仿宋" w:eastAsia="仿宋" w:cs="仿宋"/>
          <w:color w:val="000000"/>
          <w:sz w:val="24"/>
          <w:szCs w:val="24"/>
          <w:lang w:eastAsia="zh-CN"/>
        </w:rPr>
        <w:t>）中华中医药学会网站发布公开征求意见</w:t>
      </w:r>
    </w:p>
    <w:p>
      <w:pPr>
        <w:pageBreakBefore w:val="0"/>
        <w:widowControl w:val="0"/>
        <w:kinsoku/>
        <w:wordWrap/>
        <w:overflowPunct/>
        <w:topLinePunct w:val="0"/>
        <w:bidi w:val="0"/>
        <w:snapToGrid/>
        <w:spacing w:line="400" w:lineRule="exact"/>
        <w:ind w:left="0" w:leftChars="0" w:right="0" w:rightChars="0" w:firstLine="600"/>
        <w:jc w:val="left"/>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内科专家指导组将项目工作组形成的《中医内科临床诊疗指南•</w:t>
      </w:r>
      <w:r>
        <w:rPr>
          <w:rFonts w:hint="eastAsia" w:ascii="仿宋" w:hAnsi="仿宋" w:eastAsia="仿宋" w:cs="仿宋"/>
          <w:color w:val="000000"/>
          <w:sz w:val="24"/>
          <w:szCs w:val="24"/>
          <w:lang w:val="en-US" w:eastAsia="zh-CN"/>
        </w:rPr>
        <w:t>急性心肌梗死</w:t>
      </w:r>
      <w:r>
        <w:rPr>
          <w:rFonts w:hint="eastAsia" w:ascii="仿宋" w:hAnsi="仿宋" w:eastAsia="仿宋" w:cs="仿宋"/>
          <w:color w:val="000000"/>
          <w:sz w:val="24"/>
          <w:szCs w:val="24"/>
          <w:lang w:eastAsia="zh-CN"/>
        </w:rPr>
        <w:t>》公开征求意见稿，同编制说明上报中华中医药学会标准化办公室，于2017年</w:t>
      </w:r>
      <w:r>
        <w:rPr>
          <w:rFonts w:hint="eastAsia" w:ascii="仿宋" w:hAnsi="仿宋" w:eastAsia="仿宋" w:cs="仿宋"/>
          <w:color w:val="000000"/>
          <w:sz w:val="24"/>
          <w:szCs w:val="24"/>
          <w:lang w:val="en-US" w:eastAsia="zh-CN"/>
        </w:rPr>
        <w:t>11</w:t>
      </w:r>
      <w:r>
        <w:rPr>
          <w:rFonts w:hint="eastAsia" w:ascii="仿宋" w:hAnsi="仿宋" w:eastAsia="仿宋" w:cs="仿宋"/>
          <w:color w:val="000000"/>
          <w:sz w:val="24"/>
          <w:szCs w:val="24"/>
          <w:lang w:eastAsia="zh-CN"/>
        </w:rPr>
        <w:t>月</w:t>
      </w:r>
      <w:r>
        <w:rPr>
          <w:rFonts w:hint="eastAsia" w:ascii="仿宋" w:hAnsi="仿宋" w:eastAsia="仿宋" w:cs="仿宋"/>
          <w:color w:val="000000"/>
          <w:sz w:val="24"/>
          <w:szCs w:val="24"/>
          <w:lang w:val="en-US" w:eastAsia="zh-CN"/>
        </w:rPr>
        <w:t>20</w:t>
      </w:r>
      <w:r>
        <w:rPr>
          <w:rFonts w:hint="eastAsia" w:ascii="仿宋" w:hAnsi="仿宋" w:eastAsia="仿宋" w:cs="仿宋"/>
          <w:color w:val="000000"/>
          <w:sz w:val="24"/>
          <w:szCs w:val="24"/>
          <w:lang w:eastAsia="zh-CN"/>
        </w:rPr>
        <w:t>日至2017年</w:t>
      </w:r>
      <w:r>
        <w:rPr>
          <w:rFonts w:hint="eastAsia" w:ascii="仿宋" w:hAnsi="仿宋" w:eastAsia="仿宋" w:cs="仿宋"/>
          <w:color w:val="000000"/>
          <w:sz w:val="24"/>
          <w:szCs w:val="24"/>
          <w:lang w:val="en-US" w:eastAsia="zh-CN"/>
        </w:rPr>
        <w:t>12</w:t>
      </w:r>
      <w:r>
        <w:rPr>
          <w:rFonts w:hint="eastAsia" w:ascii="仿宋" w:hAnsi="仿宋" w:eastAsia="仿宋" w:cs="仿宋"/>
          <w:color w:val="000000"/>
          <w:sz w:val="24"/>
          <w:szCs w:val="24"/>
          <w:lang w:eastAsia="zh-CN"/>
        </w:rPr>
        <w:t>月</w:t>
      </w:r>
      <w:r>
        <w:rPr>
          <w:rFonts w:hint="eastAsia" w:ascii="仿宋" w:hAnsi="仿宋" w:eastAsia="仿宋" w:cs="仿宋"/>
          <w:color w:val="000000"/>
          <w:sz w:val="24"/>
          <w:szCs w:val="24"/>
          <w:lang w:val="en-US" w:eastAsia="zh-CN"/>
        </w:rPr>
        <w:t>20</w:t>
      </w:r>
      <w:r>
        <w:rPr>
          <w:rFonts w:hint="eastAsia" w:ascii="仿宋" w:hAnsi="仿宋" w:eastAsia="仿宋" w:cs="仿宋"/>
          <w:color w:val="000000"/>
          <w:sz w:val="24"/>
          <w:szCs w:val="24"/>
          <w:lang w:eastAsia="zh-CN"/>
        </w:rPr>
        <w:t>日，在中华中医药学会网站标准化专栏进行公开征求意见，为期1个月。公开征求意见期间，未收到反馈意见。</w:t>
      </w:r>
    </w:p>
    <w:p>
      <w:pPr>
        <w:pageBreakBefore w:val="0"/>
        <w:widowControl w:val="0"/>
        <w:kinsoku/>
        <w:wordWrap/>
        <w:overflowPunct/>
        <w:topLinePunct w:val="0"/>
        <w:bidi w:val="0"/>
        <w:snapToGrid/>
        <w:spacing w:line="400" w:lineRule="exact"/>
        <w:ind w:left="0" w:leftChars="0" w:right="0" w:rightChars="0" w:firstLine="600"/>
        <w:jc w:val="left"/>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项目工作组对相关材料进一步修改完善，形成《中医内科临床诊疗指南•</w:t>
      </w:r>
      <w:r>
        <w:rPr>
          <w:rFonts w:hint="eastAsia" w:ascii="仿宋" w:hAnsi="仿宋" w:eastAsia="仿宋" w:cs="仿宋"/>
          <w:color w:val="000000"/>
          <w:sz w:val="24"/>
          <w:szCs w:val="24"/>
          <w:lang w:val="en-US" w:eastAsia="zh-CN"/>
        </w:rPr>
        <w:t>急性心肌梗死</w:t>
      </w:r>
      <w:r>
        <w:rPr>
          <w:rFonts w:hint="eastAsia" w:ascii="仿宋" w:hAnsi="仿宋" w:eastAsia="仿宋" w:cs="仿宋"/>
          <w:color w:val="000000"/>
          <w:sz w:val="24"/>
          <w:szCs w:val="24"/>
          <w:lang w:eastAsia="zh-CN"/>
        </w:rPr>
        <w:t>》送审稿材料，并按照规定要求将指南送审稿、编制说明、意见汇总处理表及有关材料提交至中华中医药学会标准化办公室。</w:t>
      </w:r>
    </w:p>
    <w:p>
      <w:pPr>
        <w:keepNext/>
        <w:keepLines/>
        <w:spacing w:before="260" w:after="260" w:line="413" w:lineRule="auto"/>
        <w:outlineLvl w:val="1"/>
        <w:rPr>
          <w:rFonts w:ascii="仿宋" w:hAnsi="仿宋" w:eastAsia="仿宋"/>
          <w:b/>
          <w:color w:val="000000"/>
          <w:sz w:val="24"/>
          <w:szCs w:val="24"/>
        </w:rPr>
      </w:pPr>
      <w:bookmarkStart w:id="8" w:name="_Toc498282950"/>
      <w:r>
        <w:rPr>
          <w:rFonts w:ascii="仿宋" w:hAnsi="仿宋" w:eastAsia="仿宋" w:cs="仿宋"/>
          <w:b/>
          <w:sz w:val="24"/>
          <w:szCs w:val="24"/>
        </w:rPr>
        <w:t>4.</w:t>
      </w:r>
      <w:r>
        <w:rPr>
          <w:rFonts w:hint="eastAsia" w:ascii="仿宋" w:hAnsi="仿宋" w:eastAsia="仿宋" w:cs="仿宋"/>
          <w:b/>
          <w:sz w:val="24"/>
          <w:szCs w:val="24"/>
        </w:rPr>
        <w:t>标准主要起草人及其所做的工作</w:t>
      </w:r>
      <w:bookmarkEnd w:id="8"/>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9"/>
        <w:gridCol w:w="900"/>
        <w:gridCol w:w="2221"/>
        <w:gridCol w:w="1210"/>
        <w:gridCol w:w="1388"/>
        <w:gridCol w:w="16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姓名</w:t>
            </w:r>
          </w:p>
        </w:tc>
        <w:tc>
          <w:tcPr>
            <w:tcW w:w="900"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学位</w:t>
            </w:r>
          </w:p>
        </w:tc>
        <w:tc>
          <w:tcPr>
            <w:tcW w:w="2221"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单位</w:t>
            </w:r>
          </w:p>
        </w:tc>
        <w:tc>
          <w:tcPr>
            <w:tcW w:w="1210"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职务</w:t>
            </w:r>
          </w:p>
        </w:tc>
        <w:tc>
          <w:tcPr>
            <w:tcW w:w="1388"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职称</w:t>
            </w:r>
          </w:p>
        </w:tc>
        <w:tc>
          <w:tcPr>
            <w:tcW w:w="1664"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工作内容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丁邦晗</w:t>
            </w:r>
          </w:p>
        </w:tc>
        <w:tc>
          <w:tcPr>
            <w:tcW w:w="900" w:type="dxa"/>
            <w:vAlign w:val="center"/>
          </w:tcPr>
          <w:p>
            <w:pPr>
              <w:jc w:val="center"/>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lang w:val="en-US" w:eastAsia="zh-CN"/>
              </w:rPr>
              <w:t>博士</w:t>
            </w:r>
          </w:p>
        </w:tc>
        <w:tc>
          <w:tcPr>
            <w:tcW w:w="2221"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广东省中医院</w:t>
            </w:r>
          </w:p>
        </w:tc>
        <w:tc>
          <w:tcPr>
            <w:tcW w:w="1210"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科主任</w:t>
            </w:r>
          </w:p>
        </w:tc>
        <w:tc>
          <w:tcPr>
            <w:tcW w:w="1388"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主任医师</w:t>
            </w:r>
            <w:r>
              <w:rPr>
                <w:rFonts w:hint="eastAsia" w:ascii="仿宋" w:hAnsi="仿宋" w:eastAsia="仿宋" w:cs="仿宋"/>
                <w:color w:val="000000"/>
                <w:kern w:val="0"/>
                <w:sz w:val="21"/>
                <w:szCs w:val="21"/>
                <w:lang w:val="en-US" w:eastAsia="zh-CN"/>
              </w:rPr>
              <w:t>/教授</w:t>
            </w:r>
          </w:p>
        </w:tc>
        <w:tc>
          <w:tcPr>
            <w:tcW w:w="1664"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组长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张敏州</w:t>
            </w:r>
          </w:p>
        </w:tc>
        <w:tc>
          <w:tcPr>
            <w:tcW w:w="900"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硕士</w:t>
            </w:r>
          </w:p>
        </w:tc>
        <w:tc>
          <w:tcPr>
            <w:tcW w:w="2221"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广东省中医院</w:t>
            </w:r>
          </w:p>
        </w:tc>
        <w:tc>
          <w:tcPr>
            <w:tcW w:w="1210"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科主任</w:t>
            </w:r>
          </w:p>
        </w:tc>
        <w:tc>
          <w:tcPr>
            <w:tcW w:w="1388"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主任医师</w:t>
            </w:r>
            <w:r>
              <w:rPr>
                <w:rFonts w:hint="eastAsia" w:ascii="仿宋" w:hAnsi="仿宋" w:eastAsia="仿宋" w:cs="仿宋"/>
                <w:color w:val="000000"/>
                <w:kern w:val="0"/>
                <w:sz w:val="21"/>
                <w:szCs w:val="21"/>
                <w:lang w:val="en-US" w:eastAsia="zh-CN"/>
              </w:rPr>
              <w:t>/教授</w:t>
            </w:r>
          </w:p>
        </w:tc>
        <w:tc>
          <w:tcPr>
            <w:tcW w:w="1664"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组长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林谦</w:t>
            </w:r>
          </w:p>
        </w:tc>
        <w:tc>
          <w:tcPr>
            <w:tcW w:w="900" w:type="dxa"/>
            <w:vAlign w:val="center"/>
          </w:tcPr>
          <w:p>
            <w:pPr>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博士</w:t>
            </w:r>
          </w:p>
        </w:tc>
        <w:tc>
          <w:tcPr>
            <w:tcW w:w="2221"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北京中医药大学东方医院</w:t>
            </w:r>
          </w:p>
        </w:tc>
        <w:tc>
          <w:tcPr>
            <w:tcW w:w="1210"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院长</w:t>
            </w:r>
          </w:p>
        </w:tc>
        <w:tc>
          <w:tcPr>
            <w:tcW w:w="1388"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主任医师</w:t>
            </w:r>
            <w:r>
              <w:rPr>
                <w:rFonts w:hint="eastAsia" w:ascii="仿宋" w:hAnsi="仿宋" w:eastAsia="仿宋" w:cs="仿宋"/>
                <w:color w:val="000000"/>
                <w:kern w:val="0"/>
                <w:sz w:val="21"/>
                <w:szCs w:val="21"/>
                <w:lang w:val="en-US" w:eastAsia="zh-CN"/>
              </w:rPr>
              <w:t>/教授</w:t>
            </w:r>
          </w:p>
        </w:tc>
        <w:tc>
          <w:tcPr>
            <w:tcW w:w="1664"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专家问卷及指南评价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史大卓</w:t>
            </w:r>
          </w:p>
        </w:tc>
        <w:tc>
          <w:tcPr>
            <w:tcW w:w="900" w:type="dxa"/>
            <w:vAlign w:val="center"/>
          </w:tcPr>
          <w:p>
            <w:pPr>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博士</w:t>
            </w:r>
          </w:p>
        </w:tc>
        <w:tc>
          <w:tcPr>
            <w:tcW w:w="2221"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中国医科大学西苑医院</w:t>
            </w:r>
          </w:p>
        </w:tc>
        <w:tc>
          <w:tcPr>
            <w:tcW w:w="1210" w:type="dxa"/>
            <w:vAlign w:val="center"/>
          </w:tcPr>
          <w:p>
            <w:pPr>
              <w:jc w:val="center"/>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lang w:val="en-US" w:eastAsia="zh-CN"/>
              </w:rPr>
              <w:t>副院长</w:t>
            </w:r>
          </w:p>
        </w:tc>
        <w:tc>
          <w:tcPr>
            <w:tcW w:w="1388"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主任医师</w:t>
            </w:r>
            <w:r>
              <w:rPr>
                <w:rFonts w:hint="eastAsia" w:ascii="仿宋" w:hAnsi="仿宋" w:eastAsia="仿宋" w:cs="仿宋"/>
                <w:color w:val="000000"/>
                <w:kern w:val="0"/>
                <w:sz w:val="21"/>
                <w:szCs w:val="21"/>
                <w:lang w:val="en-US" w:eastAsia="zh-CN"/>
              </w:rPr>
              <w:t>/教授</w:t>
            </w:r>
          </w:p>
        </w:tc>
        <w:tc>
          <w:tcPr>
            <w:tcW w:w="1664"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专家问卷及指南评价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刘红旭</w:t>
            </w:r>
          </w:p>
        </w:tc>
        <w:tc>
          <w:tcPr>
            <w:tcW w:w="900"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博士</w:t>
            </w:r>
          </w:p>
        </w:tc>
        <w:tc>
          <w:tcPr>
            <w:tcW w:w="2221"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首都医科大学附属北京中医医院</w:t>
            </w:r>
          </w:p>
        </w:tc>
        <w:tc>
          <w:tcPr>
            <w:tcW w:w="1210"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科主任</w:t>
            </w:r>
          </w:p>
        </w:tc>
        <w:tc>
          <w:tcPr>
            <w:tcW w:w="1388"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主任医师</w:t>
            </w:r>
            <w:r>
              <w:rPr>
                <w:rFonts w:hint="eastAsia" w:ascii="仿宋" w:hAnsi="仿宋" w:eastAsia="仿宋" w:cs="仿宋"/>
                <w:color w:val="000000"/>
                <w:kern w:val="0"/>
                <w:sz w:val="21"/>
                <w:szCs w:val="21"/>
                <w:lang w:val="en-US" w:eastAsia="zh-CN"/>
              </w:rPr>
              <w:t>/教授</w:t>
            </w:r>
          </w:p>
        </w:tc>
        <w:tc>
          <w:tcPr>
            <w:tcW w:w="1664"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专家问卷及指南评价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邹旭</w:t>
            </w:r>
          </w:p>
        </w:tc>
        <w:tc>
          <w:tcPr>
            <w:tcW w:w="900" w:type="dxa"/>
            <w:vAlign w:val="center"/>
          </w:tcPr>
          <w:p>
            <w:pPr>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博士</w:t>
            </w:r>
          </w:p>
        </w:tc>
        <w:tc>
          <w:tcPr>
            <w:tcW w:w="2221"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广东省中医院</w:t>
            </w:r>
          </w:p>
        </w:tc>
        <w:tc>
          <w:tcPr>
            <w:tcW w:w="1210"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科主任</w:t>
            </w:r>
          </w:p>
        </w:tc>
        <w:tc>
          <w:tcPr>
            <w:tcW w:w="1388"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主任医师</w:t>
            </w:r>
            <w:r>
              <w:rPr>
                <w:rFonts w:hint="eastAsia" w:ascii="仿宋" w:hAnsi="仿宋" w:eastAsia="仿宋" w:cs="仿宋"/>
                <w:color w:val="000000"/>
                <w:kern w:val="0"/>
                <w:sz w:val="21"/>
                <w:szCs w:val="21"/>
                <w:lang w:val="en-US" w:eastAsia="zh-CN"/>
              </w:rPr>
              <w:t>/教授</w:t>
            </w:r>
          </w:p>
        </w:tc>
        <w:tc>
          <w:tcPr>
            <w:tcW w:w="1664"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专家问卷及指南评价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李军</w:t>
            </w:r>
          </w:p>
        </w:tc>
        <w:tc>
          <w:tcPr>
            <w:tcW w:w="900" w:type="dxa"/>
            <w:vAlign w:val="center"/>
          </w:tcPr>
          <w:p>
            <w:pPr>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博士</w:t>
            </w:r>
          </w:p>
        </w:tc>
        <w:tc>
          <w:tcPr>
            <w:tcW w:w="2221"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中国中医科学院广安门医院</w:t>
            </w:r>
          </w:p>
        </w:tc>
        <w:tc>
          <w:tcPr>
            <w:tcW w:w="1210"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科主任</w:t>
            </w:r>
          </w:p>
        </w:tc>
        <w:tc>
          <w:tcPr>
            <w:tcW w:w="1388"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主任医师</w:t>
            </w:r>
            <w:r>
              <w:rPr>
                <w:rFonts w:hint="eastAsia" w:ascii="仿宋" w:hAnsi="仿宋" w:eastAsia="仿宋" w:cs="仿宋"/>
                <w:color w:val="000000"/>
                <w:kern w:val="0"/>
                <w:sz w:val="21"/>
                <w:szCs w:val="21"/>
                <w:lang w:val="en-US" w:eastAsia="zh-CN"/>
              </w:rPr>
              <w:t>/教授</w:t>
            </w:r>
          </w:p>
        </w:tc>
        <w:tc>
          <w:tcPr>
            <w:tcW w:w="1664"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专家问卷及指南评价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王显</w:t>
            </w:r>
          </w:p>
        </w:tc>
        <w:tc>
          <w:tcPr>
            <w:tcW w:w="900" w:type="dxa"/>
            <w:vAlign w:val="center"/>
          </w:tcPr>
          <w:p>
            <w:pPr>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博士</w:t>
            </w:r>
          </w:p>
        </w:tc>
        <w:tc>
          <w:tcPr>
            <w:tcW w:w="2221"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北京中医药大学东直门医院</w:t>
            </w:r>
          </w:p>
        </w:tc>
        <w:tc>
          <w:tcPr>
            <w:tcW w:w="1210"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科主任</w:t>
            </w:r>
          </w:p>
        </w:tc>
        <w:tc>
          <w:tcPr>
            <w:tcW w:w="1388"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主任医师</w:t>
            </w:r>
            <w:r>
              <w:rPr>
                <w:rFonts w:hint="eastAsia" w:ascii="仿宋" w:hAnsi="仿宋" w:eastAsia="仿宋" w:cs="仿宋"/>
                <w:color w:val="000000"/>
                <w:kern w:val="0"/>
                <w:sz w:val="21"/>
                <w:szCs w:val="21"/>
                <w:lang w:val="en-US" w:eastAsia="zh-CN"/>
              </w:rPr>
              <w:t>/教授</w:t>
            </w:r>
          </w:p>
        </w:tc>
        <w:tc>
          <w:tcPr>
            <w:tcW w:w="1664"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专家问卷及指南评价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吴伟</w:t>
            </w:r>
          </w:p>
        </w:tc>
        <w:tc>
          <w:tcPr>
            <w:tcW w:w="900" w:type="dxa"/>
            <w:vAlign w:val="center"/>
          </w:tcPr>
          <w:p>
            <w:pPr>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博士</w:t>
            </w:r>
          </w:p>
        </w:tc>
        <w:tc>
          <w:tcPr>
            <w:tcW w:w="2221"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广州中医药大学第一附属医院</w:t>
            </w:r>
          </w:p>
        </w:tc>
        <w:tc>
          <w:tcPr>
            <w:tcW w:w="1210"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科主任</w:t>
            </w:r>
          </w:p>
        </w:tc>
        <w:tc>
          <w:tcPr>
            <w:tcW w:w="1388"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主任医师</w:t>
            </w:r>
            <w:r>
              <w:rPr>
                <w:rFonts w:hint="eastAsia" w:ascii="仿宋" w:hAnsi="仿宋" w:eastAsia="仿宋" w:cs="仿宋"/>
                <w:color w:val="000000"/>
                <w:kern w:val="0"/>
                <w:sz w:val="21"/>
                <w:szCs w:val="21"/>
                <w:lang w:val="en-US" w:eastAsia="zh-CN"/>
              </w:rPr>
              <w:t>/教授</w:t>
            </w:r>
          </w:p>
        </w:tc>
        <w:tc>
          <w:tcPr>
            <w:tcW w:w="1664"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专家问卷及指南评价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邓悦</w:t>
            </w:r>
          </w:p>
        </w:tc>
        <w:tc>
          <w:tcPr>
            <w:tcW w:w="900" w:type="dxa"/>
            <w:vAlign w:val="center"/>
          </w:tcPr>
          <w:p>
            <w:pPr>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博士</w:t>
            </w:r>
          </w:p>
        </w:tc>
        <w:tc>
          <w:tcPr>
            <w:tcW w:w="2221"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长春中医药大学附属医院</w:t>
            </w:r>
          </w:p>
        </w:tc>
        <w:tc>
          <w:tcPr>
            <w:tcW w:w="1210"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科主任</w:t>
            </w:r>
          </w:p>
        </w:tc>
        <w:tc>
          <w:tcPr>
            <w:tcW w:w="1388"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主任医师</w:t>
            </w:r>
            <w:r>
              <w:rPr>
                <w:rFonts w:hint="eastAsia" w:ascii="仿宋" w:hAnsi="仿宋" w:eastAsia="仿宋" w:cs="仿宋"/>
                <w:color w:val="000000"/>
                <w:kern w:val="0"/>
                <w:sz w:val="21"/>
                <w:szCs w:val="21"/>
                <w:lang w:val="en-US" w:eastAsia="zh-CN"/>
              </w:rPr>
              <w:t>/教授</w:t>
            </w:r>
          </w:p>
        </w:tc>
        <w:tc>
          <w:tcPr>
            <w:tcW w:w="1664"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专家问卷及指南评价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卢云</w:t>
            </w:r>
          </w:p>
        </w:tc>
        <w:tc>
          <w:tcPr>
            <w:tcW w:w="900" w:type="dxa"/>
            <w:vAlign w:val="center"/>
          </w:tcPr>
          <w:p>
            <w:pPr>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博士</w:t>
            </w:r>
          </w:p>
        </w:tc>
        <w:tc>
          <w:tcPr>
            <w:tcW w:w="2221"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四川省中医院</w:t>
            </w:r>
          </w:p>
        </w:tc>
        <w:tc>
          <w:tcPr>
            <w:tcW w:w="1210"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科主任</w:t>
            </w:r>
          </w:p>
        </w:tc>
        <w:tc>
          <w:tcPr>
            <w:tcW w:w="1388"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主任医师</w:t>
            </w:r>
            <w:r>
              <w:rPr>
                <w:rFonts w:hint="eastAsia" w:ascii="仿宋" w:hAnsi="仿宋" w:eastAsia="仿宋" w:cs="仿宋"/>
                <w:color w:val="000000"/>
                <w:kern w:val="0"/>
                <w:sz w:val="21"/>
                <w:szCs w:val="21"/>
                <w:lang w:val="en-US" w:eastAsia="zh-CN"/>
              </w:rPr>
              <w:t>/教授</w:t>
            </w:r>
          </w:p>
        </w:tc>
        <w:tc>
          <w:tcPr>
            <w:tcW w:w="1664"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专家问卷及指南评价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王肖龙</w:t>
            </w:r>
          </w:p>
        </w:tc>
        <w:tc>
          <w:tcPr>
            <w:tcW w:w="900"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硕士</w:t>
            </w:r>
          </w:p>
        </w:tc>
        <w:tc>
          <w:tcPr>
            <w:tcW w:w="2221"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上海中医药大学附属曙光医院</w:t>
            </w:r>
          </w:p>
        </w:tc>
        <w:tc>
          <w:tcPr>
            <w:tcW w:w="1210"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科主任</w:t>
            </w:r>
          </w:p>
        </w:tc>
        <w:tc>
          <w:tcPr>
            <w:tcW w:w="1388"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主任医师</w:t>
            </w:r>
            <w:r>
              <w:rPr>
                <w:rFonts w:hint="eastAsia" w:ascii="仿宋" w:hAnsi="仿宋" w:eastAsia="仿宋" w:cs="仿宋"/>
                <w:color w:val="000000"/>
                <w:kern w:val="0"/>
                <w:sz w:val="21"/>
                <w:szCs w:val="21"/>
                <w:lang w:val="en-US" w:eastAsia="zh-CN"/>
              </w:rPr>
              <w:t>/教授</w:t>
            </w:r>
          </w:p>
        </w:tc>
        <w:tc>
          <w:tcPr>
            <w:tcW w:w="1664"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专家问卷及指南评价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毛静远</w:t>
            </w:r>
          </w:p>
        </w:tc>
        <w:tc>
          <w:tcPr>
            <w:tcW w:w="900" w:type="dxa"/>
            <w:vAlign w:val="center"/>
          </w:tcPr>
          <w:p>
            <w:pPr>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博士</w:t>
            </w:r>
          </w:p>
        </w:tc>
        <w:tc>
          <w:tcPr>
            <w:tcW w:w="2221"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天津中医药大学第一附属医院</w:t>
            </w:r>
          </w:p>
        </w:tc>
        <w:tc>
          <w:tcPr>
            <w:tcW w:w="1210"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院长</w:t>
            </w:r>
          </w:p>
        </w:tc>
        <w:tc>
          <w:tcPr>
            <w:tcW w:w="1388"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主任医师</w:t>
            </w:r>
            <w:r>
              <w:rPr>
                <w:rFonts w:hint="eastAsia" w:ascii="仿宋" w:hAnsi="仿宋" w:eastAsia="仿宋" w:cs="仿宋"/>
                <w:color w:val="000000"/>
                <w:kern w:val="0"/>
                <w:sz w:val="21"/>
                <w:szCs w:val="21"/>
                <w:lang w:val="en-US" w:eastAsia="zh-CN"/>
              </w:rPr>
              <w:t>/教授</w:t>
            </w:r>
          </w:p>
        </w:tc>
        <w:tc>
          <w:tcPr>
            <w:tcW w:w="1664"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专家问卷及指南评价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朱明军</w:t>
            </w:r>
          </w:p>
        </w:tc>
        <w:tc>
          <w:tcPr>
            <w:tcW w:w="900"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硕士</w:t>
            </w:r>
          </w:p>
        </w:tc>
        <w:tc>
          <w:tcPr>
            <w:tcW w:w="2221"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河南中医学院第一附属医院</w:t>
            </w:r>
          </w:p>
        </w:tc>
        <w:tc>
          <w:tcPr>
            <w:tcW w:w="1210" w:type="dxa"/>
            <w:vAlign w:val="center"/>
          </w:tcPr>
          <w:p>
            <w:pPr>
              <w:jc w:val="center"/>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lang w:val="en-US" w:eastAsia="zh-CN"/>
              </w:rPr>
              <w:t>副院长</w:t>
            </w:r>
          </w:p>
        </w:tc>
        <w:tc>
          <w:tcPr>
            <w:tcW w:w="1388"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主任医师</w:t>
            </w:r>
            <w:r>
              <w:rPr>
                <w:rFonts w:hint="eastAsia" w:ascii="仿宋" w:hAnsi="仿宋" w:eastAsia="仿宋" w:cs="仿宋"/>
                <w:color w:val="000000"/>
                <w:kern w:val="0"/>
                <w:sz w:val="21"/>
                <w:szCs w:val="21"/>
                <w:lang w:val="en-US" w:eastAsia="zh-CN"/>
              </w:rPr>
              <w:t>/教授</w:t>
            </w:r>
          </w:p>
        </w:tc>
        <w:tc>
          <w:tcPr>
            <w:tcW w:w="1664"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专家问卷及指南评价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史载祥</w:t>
            </w:r>
          </w:p>
        </w:tc>
        <w:tc>
          <w:tcPr>
            <w:tcW w:w="900"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硕士</w:t>
            </w:r>
          </w:p>
        </w:tc>
        <w:tc>
          <w:tcPr>
            <w:tcW w:w="2221"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北京中日友好医院</w:t>
            </w:r>
          </w:p>
        </w:tc>
        <w:tc>
          <w:tcPr>
            <w:tcW w:w="1210"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科主任</w:t>
            </w:r>
          </w:p>
        </w:tc>
        <w:tc>
          <w:tcPr>
            <w:tcW w:w="1388"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主任医师</w:t>
            </w:r>
            <w:r>
              <w:rPr>
                <w:rFonts w:hint="eastAsia" w:ascii="仿宋" w:hAnsi="仿宋" w:eastAsia="仿宋" w:cs="仿宋"/>
                <w:color w:val="000000"/>
                <w:kern w:val="0"/>
                <w:sz w:val="21"/>
                <w:szCs w:val="21"/>
                <w:lang w:val="en-US" w:eastAsia="zh-CN"/>
              </w:rPr>
              <w:t>/教授</w:t>
            </w:r>
          </w:p>
        </w:tc>
        <w:tc>
          <w:tcPr>
            <w:tcW w:w="1664"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专家问卷及指南评价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邓旻</w:t>
            </w:r>
          </w:p>
        </w:tc>
        <w:tc>
          <w:tcPr>
            <w:tcW w:w="900"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博士</w:t>
            </w:r>
          </w:p>
        </w:tc>
        <w:tc>
          <w:tcPr>
            <w:tcW w:w="2221"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浙江省中西医结合医院</w:t>
            </w:r>
          </w:p>
        </w:tc>
        <w:tc>
          <w:tcPr>
            <w:tcW w:w="1210"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副院长</w:t>
            </w:r>
          </w:p>
        </w:tc>
        <w:tc>
          <w:tcPr>
            <w:tcW w:w="1388"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主任医师</w:t>
            </w:r>
            <w:r>
              <w:rPr>
                <w:rFonts w:hint="eastAsia" w:ascii="仿宋" w:hAnsi="仿宋" w:eastAsia="仿宋" w:cs="仿宋"/>
                <w:color w:val="000000"/>
                <w:kern w:val="0"/>
                <w:sz w:val="21"/>
                <w:szCs w:val="21"/>
                <w:lang w:val="en-US" w:eastAsia="zh-CN"/>
              </w:rPr>
              <w:t>/教授</w:t>
            </w:r>
          </w:p>
        </w:tc>
        <w:tc>
          <w:tcPr>
            <w:tcW w:w="1664"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专家问卷及指南评价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毛威</w:t>
            </w:r>
          </w:p>
        </w:tc>
        <w:tc>
          <w:tcPr>
            <w:tcW w:w="900" w:type="dxa"/>
            <w:vAlign w:val="center"/>
          </w:tcPr>
          <w:p>
            <w:pPr>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博士</w:t>
            </w:r>
          </w:p>
        </w:tc>
        <w:tc>
          <w:tcPr>
            <w:tcW w:w="2221"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浙江省中医院</w:t>
            </w:r>
          </w:p>
        </w:tc>
        <w:tc>
          <w:tcPr>
            <w:tcW w:w="1210"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副院长</w:t>
            </w:r>
          </w:p>
        </w:tc>
        <w:tc>
          <w:tcPr>
            <w:tcW w:w="1388"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主任医师</w:t>
            </w:r>
            <w:r>
              <w:rPr>
                <w:rFonts w:hint="eastAsia" w:ascii="仿宋" w:hAnsi="仿宋" w:eastAsia="仿宋" w:cs="仿宋"/>
                <w:color w:val="000000"/>
                <w:kern w:val="0"/>
                <w:sz w:val="21"/>
                <w:szCs w:val="21"/>
                <w:lang w:val="en-US" w:eastAsia="zh-CN"/>
              </w:rPr>
              <w:t>/教授</w:t>
            </w:r>
          </w:p>
        </w:tc>
        <w:tc>
          <w:tcPr>
            <w:tcW w:w="1664"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专家问卷及指南评价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安冬青</w:t>
            </w:r>
          </w:p>
        </w:tc>
        <w:tc>
          <w:tcPr>
            <w:tcW w:w="900" w:type="dxa"/>
            <w:vAlign w:val="center"/>
          </w:tcPr>
          <w:p>
            <w:pPr>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博士</w:t>
            </w:r>
          </w:p>
        </w:tc>
        <w:tc>
          <w:tcPr>
            <w:tcW w:w="2221"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新疆医科大学中医学院</w:t>
            </w:r>
          </w:p>
        </w:tc>
        <w:tc>
          <w:tcPr>
            <w:tcW w:w="1210" w:type="dxa"/>
            <w:vAlign w:val="center"/>
          </w:tcPr>
          <w:p>
            <w:pPr>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院长</w:t>
            </w:r>
          </w:p>
        </w:tc>
        <w:tc>
          <w:tcPr>
            <w:tcW w:w="1388"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主任医师</w:t>
            </w:r>
            <w:r>
              <w:rPr>
                <w:rFonts w:hint="eastAsia" w:ascii="仿宋" w:hAnsi="仿宋" w:eastAsia="仿宋" w:cs="仿宋"/>
                <w:color w:val="000000"/>
                <w:kern w:val="0"/>
                <w:sz w:val="21"/>
                <w:szCs w:val="21"/>
                <w:lang w:val="en-US" w:eastAsia="zh-CN"/>
              </w:rPr>
              <w:t>/教授</w:t>
            </w:r>
          </w:p>
        </w:tc>
        <w:tc>
          <w:tcPr>
            <w:tcW w:w="1664"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专家问卷及指南评价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戴小华</w:t>
            </w:r>
          </w:p>
        </w:tc>
        <w:tc>
          <w:tcPr>
            <w:tcW w:w="900" w:type="dxa"/>
            <w:vAlign w:val="center"/>
          </w:tcPr>
          <w:p>
            <w:pPr>
              <w:jc w:val="center"/>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lang w:val="en-US" w:eastAsia="zh-CN"/>
              </w:rPr>
              <w:t>博士</w:t>
            </w:r>
          </w:p>
        </w:tc>
        <w:tc>
          <w:tcPr>
            <w:tcW w:w="2221"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安徽中医药大学第一附属医院</w:t>
            </w:r>
          </w:p>
        </w:tc>
        <w:tc>
          <w:tcPr>
            <w:tcW w:w="1210"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科主任</w:t>
            </w:r>
          </w:p>
        </w:tc>
        <w:tc>
          <w:tcPr>
            <w:tcW w:w="1388"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主任医师</w:t>
            </w:r>
            <w:r>
              <w:rPr>
                <w:rFonts w:hint="eastAsia" w:ascii="仿宋" w:hAnsi="仿宋" w:eastAsia="仿宋" w:cs="仿宋"/>
                <w:color w:val="000000"/>
                <w:kern w:val="0"/>
                <w:sz w:val="21"/>
                <w:szCs w:val="21"/>
                <w:lang w:val="en-US" w:eastAsia="zh-CN"/>
              </w:rPr>
              <w:t>/教授</w:t>
            </w:r>
          </w:p>
        </w:tc>
        <w:tc>
          <w:tcPr>
            <w:tcW w:w="1664"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专家问卷及指南评价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李文杰</w:t>
            </w:r>
          </w:p>
        </w:tc>
        <w:tc>
          <w:tcPr>
            <w:tcW w:w="900" w:type="dxa"/>
            <w:vAlign w:val="center"/>
          </w:tcPr>
          <w:p>
            <w:pPr>
              <w:jc w:val="center"/>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lang w:val="en-US" w:eastAsia="zh-CN"/>
              </w:rPr>
              <w:t>博士</w:t>
            </w:r>
          </w:p>
        </w:tc>
        <w:tc>
          <w:tcPr>
            <w:tcW w:w="2221"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辽宁中医药大学第一附属医院</w:t>
            </w:r>
          </w:p>
        </w:tc>
        <w:tc>
          <w:tcPr>
            <w:tcW w:w="1210"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科主任</w:t>
            </w:r>
          </w:p>
        </w:tc>
        <w:tc>
          <w:tcPr>
            <w:tcW w:w="1388"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主任医师</w:t>
            </w:r>
            <w:r>
              <w:rPr>
                <w:rFonts w:hint="eastAsia" w:ascii="仿宋" w:hAnsi="仿宋" w:eastAsia="仿宋" w:cs="仿宋"/>
                <w:color w:val="000000"/>
                <w:kern w:val="0"/>
                <w:sz w:val="21"/>
                <w:szCs w:val="21"/>
                <w:lang w:val="en-US" w:eastAsia="zh-CN"/>
              </w:rPr>
              <w:t>/教授</w:t>
            </w:r>
          </w:p>
        </w:tc>
        <w:tc>
          <w:tcPr>
            <w:tcW w:w="1664"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专家问卷及指南评价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刘中勇</w:t>
            </w:r>
          </w:p>
        </w:tc>
        <w:tc>
          <w:tcPr>
            <w:tcW w:w="900"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硕士</w:t>
            </w:r>
          </w:p>
        </w:tc>
        <w:tc>
          <w:tcPr>
            <w:tcW w:w="2221"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江西中医药大学附属医院</w:t>
            </w:r>
          </w:p>
        </w:tc>
        <w:tc>
          <w:tcPr>
            <w:tcW w:w="1210" w:type="dxa"/>
            <w:vAlign w:val="center"/>
          </w:tcPr>
          <w:p>
            <w:pPr>
              <w:jc w:val="center"/>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lang w:val="en-US" w:eastAsia="zh-CN"/>
              </w:rPr>
              <w:t>副院长</w:t>
            </w:r>
          </w:p>
        </w:tc>
        <w:tc>
          <w:tcPr>
            <w:tcW w:w="1388"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主任医师</w:t>
            </w:r>
            <w:r>
              <w:rPr>
                <w:rFonts w:hint="eastAsia" w:ascii="仿宋" w:hAnsi="仿宋" w:eastAsia="仿宋" w:cs="仿宋"/>
                <w:color w:val="000000"/>
                <w:kern w:val="0"/>
                <w:sz w:val="21"/>
                <w:szCs w:val="21"/>
                <w:lang w:val="en-US" w:eastAsia="zh-CN"/>
              </w:rPr>
              <w:t>/教授</w:t>
            </w:r>
          </w:p>
        </w:tc>
        <w:tc>
          <w:tcPr>
            <w:tcW w:w="1664"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专家问卷及指南评价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潘朝锌</w:t>
            </w:r>
          </w:p>
        </w:tc>
        <w:tc>
          <w:tcPr>
            <w:tcW w:w="900" w:type="dxa"/>
            <w:vAlign w:val="center"/>
          </w:tcPr>
          <w:p>
            <w:pPr>
              <w:jc w:val="center"/>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硕士</w:t>
            </w:r>
          </w:p>
        </w:tc>
        <w:tc>
          <w:tcPr>
            <w:tcW w:w="2221"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广西中医药大学第一附属医院</w:t>
            </w:r>
          </w:p>
        </w:tc>
        <w:tc>
          <w:tcPr>
            <w:tcW w:w="1210"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科主任</w:t>
            </w:r>
          </w:p>
        </w:tc>
        <w:tc>
          <w:tcPr>
            <w:tcW w:w="1388"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主任医师</w:t>
            </w:r>
            <w:r>
              <w:rPr>
                <w:rFonts w:hint="eastAsia" w:ascii="仿宋" w:hAnsi="仿宋" w:eastAsia="仿宋" w:cs="仿宋"/>
                <w:color w:val="000000"/>
                <w:kern w:val="0"/>
                <w:sz w:val="21"/>
                <w:szCs w:val="21"/>
                <w:lang w:val="en-US" w:eastAsia="zh-CN"/>
              </w:rPr>
              <w:t>/教授</w:t>
            </w:r>
          </w:p>
        </w:tc>
        <w:tc>
          <w:tcPr>
            <w:tcW w:w="1664"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专家问卷及指南评价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叶勇</w:t>
            </w:r>
          </w:p>
        </w:tc>
        <w:tc>
          <w:tcPr>
            <w:tcW w:w="900" w:type="dxa"/>
            <w:vAlign w:val="center"/>
          </w:tcPr>
          <w:p>
            <w:pPr>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博士</w:t>
            </w:r>
          </w:p>
        </w:tc>
        <w:tc>
          <w:tcPr>
            <w:tcW w:w="2221"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云南省中医院</w:t>
            </w:r>
          </w:p>
        </w:tc>
        <w:tc>
          <w:tcPr>
            <w:tcW w:w="1210"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科主任</w:t>
            </w:r>
          </w:p>
        </w:tc>
        <w:tc>
          <w:tcPr>
            <w:tcW w:w="1388"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主任医师</w:t>
            </w:r>
            <w:r>
              <w:rPr>
                <w:rFonts w:hint="eastAsia" w:ascii="仿宋" w:hAnsi="仿宋" w:eastAsia="仿宋" w:cs="仿宋"/>
                <w:color w:val="000000"/>
                <w:kern w:val="0"/>
                <w:sz w:val="21"/>
                <w:szCs w:val="21"/>
                <w:lang w:val="en-US" w:eastAsia="zh-CN"/>
              </w:rPr>
              <w:t>/教授</w:t>
            </w:r>
          </w:p>
        </w:tc>
        <w:tc>
          <w:tcPr>
            <w:tcW w:w="1664"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专家问卷及指南评价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董琼芬</w:t>
            </w:r>
          </w:p>
        </w:tc>
        <w:tc>
          <w:tcPr>
            <w:tcW w:w="900"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硕士</w:t>
            </w:r>
          </w:p>
        </w:tc>
        <w:tc>
          <w:tcPr>
            <w:tcW w:w="2221"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云南省中医院</w:t>
            </w:r>
          </w:p>
        </w:tc>
        <w:tc>
          <w:tcPr>
            <w:tcW w:w="1210"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科主任</w:t>
            </w:r>
          </w:p>
        </w:tc>
        <w:tc>
          <w:tcPr>
            <w:tcW w:w="1388"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主任医师</w:t>
            </w:r>
            <w:r>
              <w:rPr>
                <w:rFonts w:hint="eastAsia" w:ascii="仿宋" w:hAnsi="仿宋" w:eastAsia="仿宋" w:cs="仿宋"/>
                <w:color w:val="000000"/>
                <w:kern w:val="0"/>
                <w:sz w:val="21"/>
                <w:szCs w:val="21"/>
                <w:lang w:val="en-US" w:eastAsia="zh-CN"/>
              </w:rPr>
              <w:t>/教授</w:t>
            </w:r>
          </w:p>
        </w:tc>
        <w:tc>
          <w:tcPr>
            <w:tcW w:w="1664"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专家问卷及指南评价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苏和</w:t>
            </w:r>
          </w:p>
        </w:tc>
        <w:tc>
          <w:tcPr>
            <w:tcW w:w="900" w:type="dxa"/>
            <w:vAlign w:val="center"/>
          </w:tcPr>
          <w:p>
            <w:pPr>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博士</w:t>
            </w:r>
          </w:p>
        </w:tc>
        <w:tc>
          <w:tcPr>
            <w:tcW w:w="2221"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内蒙古自治区中医医院</w:t>
            </w:r>
          </w:p>
        </w:tc>
        <w:tc>
          <w:tcPr>
            <w:tcW w:w="1210"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副院长</w:t>
            </w:r>
          </w:p>
        </w:tc>
        <w:tc>
          <w:tcPr>
            <w:tcW w:w="1388"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主任医师</w:t>
            </w:r>
            <w:r>
              <w:rPr>
                <w:rFonts w:hint="eastAsia" w:ascii="仿宋" w:hAnsi="仿宋" w:eastAsia="仿宋" w:cs="仿宋"/>
                <w:color w:val="000000"/>
                <w:kern w:val="0"/>
                <w:sz w:val="21"/>
                <w:szCs w:val="21"/>
                <w:lang w:val="en-US" w:eastAsia="zh-CN"/>
              </w:rPr>
              <w:t>/教授</w:t>
            </w:r>
          </w:p>
        </w:tc>
        <w:tc>
          <w:tcPr>
            <w:tcW w:w="1664"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专家问卷及指南评价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张培影</w:t>
            </w:r>
          </w:p>
        </w:tc>
        <w:tc>
          <w:tcPr>
            <w:tcW w:w="900" w:type="dxa"/>
            <w:vAlign w:val="center"/>
          </w:tcPr>
          <w:p>
            <w:pPr>
              <w:jc w:val="center"/>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lang w:val="en-US" w:eastAsia="zh-CN"/>
              </w:rPr>
              <w:t>博士</w:t>
            </w:r>
          </w:p>
        </w:tc>
        <w:tc>
          <w:tcPr>
            <w:tcW w:w="2221"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徐州市中心医院</w:t>
            </w:r>
          </w:p>
        </w:tc>
        <w:tc>
          <w:tcPr>
            <w:tcW w:w="1210"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副院长</w:t>
            </w:r>
          </w:p>
        </w:tc>
        <w:tc>
          <w:tcPr>
            <w:tcW w:w="1388"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主任医师</w:t>
            </w:r>
            <w:r>
              <w:rPr>
                <w:rFonts w:hint="eastAsia" w:ascii="仿宋" w:hAnsi="仿宋" w:eastAsia="仿宋" w:cs="仿宋"/>
                <w:color w:val="000000"/>
                <w:kern w:val="0"/>
                <w:sz w:val="21"/>
                <w:szCs w:val="21"/>
                <w:lang w:val="en-US" w:eastAsia="zh-CN"/>
              </w:rPr>
              <w:t>/教授</w:t>
            </w:r>
          </w:p>
        </w:tc>
        <w:tc>
          <w:tcPr>
            <w:tcW w:w="1664"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专家问卷及指南评价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王忠良</w:t>
            </w:r>
          </w:p>
        </w:tc>
        <w:tc>
          <w:tcPr>
            <w:tcW w:w="900"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硕士</w:t>
            </w:r>
          </w:p>
        </w:tc>
        <w:tc>
          <w:tcPr>
            <w:tcW w:w="2221"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徐州市中心医院</w:t>
            </w:r>
          </w:p>
        </w:tc>
        <w:tc>
          <w:tcPr>
            <w:tcW w:w="1210" w:type="dxa"/>
            <w:vAlign w:val="center"/>
          </w:tcPr>
          <w:p>
            <w:pPr>
              <w:jc w:val="center"/>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lang w:val="en-US" w:eastAsia="zh-CN"/>
              </w:rPr>
              <w:t>科主任</w:t>
            </w:r>
          </w:p>
        </w:tc>
        <w:tc>
          <w:tcPr>
            <w:tcW w:w="1388"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主任医师</w:t>
            </w:r>
          </w:p>
        </w:tc>
        <w:tc>
          <w:tcPr>
            <w:tcW w:w="1664"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专家问卷及指南评价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杨海玉</w:t>
            </w:r>
          </w:p>
        </w:tc>
        <w:tc>
          <w:tcPr>
            <w:tcW w:w="900"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硕士</w:t>
            </w:r>
          </w:p>
        </w:tc>
        <w:tc>
          <w:tcPr>
            <w:tcW w:w="2221"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江门市五邑中医院</w:t>
            </w:r>
          </w:p>
        </w:tc>
        <w:tc>
          <w:tcPr>
            <w:tcW w:w="1210"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科主任</w:t>
            </w:r>
          </w:p>
        </w:tc>
        <w:tc>
          <w:tcPr>
            <w:tcW w:w="1388"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主任医师</w:t>
            </w:r>
          </w:p>
        </w:tc>
        <w:tc>
          <w:tcPr>
            <w:tcW w:w="1664"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专家问卷及指南评价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邹旭</w:t>
            </w:r>
          </w:p>
        </w:tc>
        <w:tc>
          <w:tcPr>
            <w:tcW w:w="900" w:type="dxa"/>
            <w:vAlign w:val="center"/>
          </w:tcPr>
          <w:p>
            <w:pPr>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博士</w:t>
            </w:r>
          </w:p>
        </w:tc>
        <w:tc>
          <w:tcPr>
            <w:tcW w:w="2221"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广东省中医院</w:t>
            </w:r>
          </w:p>
        </w:tc>
        <w:tc>
          <w:tcPr>
            <w:tcW w:w="1210" w:type="dxa"/>
            <w:vAlign w:val="center"/>
          </w:tcPr>
          <w:p>
            <w:pPr>
              <w:jc w:val="center"/>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lang w:val="en-US" w:eastAsia="zh-CN"/>
              </w:rPr>
              <w:t>副院长</w:t>
            </w:r>
          </w:p>
        </w:tc>
        <w:tc>
          <w:tcPr>
            <w:tcW w:w="1388"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主任医师</w:t>
            </w:r>
            <w:r>
              <w:rPr>
                <w:rFonts w:hint="eastAsia" w:ascii="仿宋" w:hAnsi="仿宋" w:eastAsia="仿宋" w:cs="仿宋"/>
                <w:color w:val="000000"/>
                <w:kern w:val="0"/>
                <w:sz w:val="21"/>
                <w:szCs w:val="21"/>
                <w:lang w:val="en-US" w:eastAsia="zh-CN"/>
              </w:rPr>
              <w:t>/教授</w:t>
            </w:r>
          </w:p>
        </w:tc>
        <w:tc>
          <w:tcPr>
            <w:tcW w:w="1664" w:type="dxa"/>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专家问卷及指南评价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王大伟</w:t>
            </w:r>
          </w:p>
        </w:tc>
        <w:tc>
          <w:tcPr>
            <w:tcW w:w="900"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博士</w:t>
            </w:r>
          </w:p>
        </w:tc>
        <w:tc>
          <w:tcPr>
            <w:tcW w:w="2221"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广东省中医院</w:t>
            </w:r>
          </w:p>
        </w:tc>
        <w:tc>
          <w:tcPr>
            <w:tcW w:w="1210"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科主任</w:t>
            </w:r>
          </w:p>
        </w:tc>
        <w:tc>
          <w:tcPr>
            <w:tcW w:w="1388"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主任医师</w:t>
            </w:r>
            <w:r>
              <w:rPr>
                <w:rFonts w:hint="eastAsia" w:ascii="仿宋" w:hAnsi="仿宋" w:eastAsia="仿宋" w:cs="仿宋"/>
                <w:color w:val="000000"/>
                <w:kern w:val="0"/>
                <w:sz w:val="21"/>
                <w:szCs w:val="21"/>
                <w:lang w:val="en-US" w:eastAsia="zh-CN"/>
              </w:rPr>
              <w:t>/教授</w:t>
            </w:r>
          </w:p>
        </w:tc>
        <w:tc>
          <w:tcPr>
            <w:tcW w:w="1664"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指南起草及项目监督实施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王磊</w:t>
            </w:r>
          </w:p>
        </w:tc>
        <w:tc>
          <w:tcPr>
            <w:tcW w:w="900"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博士</w:t>
            </w:r>
          </w:p>
        </w:tc>
        <w:tc>
          <w:tcPr>
            <w:tcW w:w="2221"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广东省中医院</w:t>
            </w:r>
          </w:p>
        </w:tc>
        <w:tc>
          <w:tcPr>
            <w:tcW w:w="1210"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无</w:t>
            </w:r>
          </w:p>
        </w:tc>
        <w:tc>
          <w:tcPr>
            <w:tcW w:w="1388"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主任医师</w:t>
            </w:r>
          </w:p>
        </w:tc>
        <w:tc>
          <w:tcPr>
            <w:tcW w:w="1664"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指南起草及项目监督实施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atLeast"/>
        </w:trPr>
        <w:tc>
          <w:tcPr>
            <w:tcW w:w="1139"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郭新峰</w:t>
            </w:r>
          </w:p>
        </w:tc>
        <w:tc>
          <w:tcPr>
            <w:tcW w:w="900"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博士</w:t>
            </w:r>
          </w:p>
        </w:tc>
        <w:tc>
          <w:tcPr>
            <w:tcW w:w="2221"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广东省中医院</w:t>
            </w:r>
          </w:p>
        </w:tc>
        <w:tc>
          <w:tcPr>
            <w:tcW w:w="1210"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团队PI</w:t>
            </w:r>
          </w:p>
        </w:tc>
        <w:tc>
          <w:tcPr>
            <w:tcW w:w="1388"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研究员</w:t>
            </w:r>
          </w:p>
        </w:tc>
        <w:tc>
          <w:tcPr>
            <w:tcW w:w="1664"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指南方法学指导和评价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刘少南</w:t>
            </w:r>
          </w:p>
        </w:tc>
        <w:tc>
          <w:tcPr>
            <w:tcW w:w="900"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硕士</w:t>
            </w:r>
          </w:p>
        </w:tc>
        <w:tc>
          <w:tcPr>
            <w:tcW w:w="2221"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广东省中医院</w:t>
            </w:r>
          </w:p>
        </w:tc>
        <w:tc>
          <w:tcPr>
            <w:tcW w:w="1210"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无</w:t>
            </w:r>
          </w:p>
        </w:tc>
        <w:tc>
          <w:tcPr>
            <w:tcW w:w="1388"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助理研究员</w:t>
            </w:r>
          </w:p>
        </w:tc>
        <w:tc>
          <w:tcPr>
            <w:tcW w:w="1664"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指南方法学指导和评价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刘云涛</w:t>
            </w:r>
          </w:p>
        </w:tc>
        <w:tc>
          <w:tcPr>
            <w:tcW w:w="900"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博士</w:t>
            </w:r>
          </w:p>
        </w:tc>
        <w:tc>
          <w:tcPr>
            <w:tcW w:w="2221"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广东省中医院</w:t>
            </w:r>
          </w:p>
        </w:tc>
        <w:tc>
          <w:tcPr>
            <w:tcW w:w="1210"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无</w:t>
            </w:r>
          </w:p>
        </w:tc>
        <w:tc>
          <w:tcPr>
            <w:tcW w:w="1388"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副主任医师</w:t>
            </w:r>
          </w:p>
        </w:tc>
        <w:tc>
          <w:tcPr>
            <w:tcW w:w="1664"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组织、联络和监督实施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廖鹏达</w:t>
            </w:r>
          </w:p>
        </w:tc>
        <w:tc>
          <w:tcPr>
            <w:tcW w:w="900"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硕士</w:t>
            </w:r>
          </w:p>
        </w:tc>
        <w:tc>
          <w:tcPr>
            <w:tcW w:w="2221"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广东省中医院</w:t>
            </w:r>
          </w:p>
        </w:tc>
        <w:tc>
          <w:tcPr>
            <w:tcW w:w="1210"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无</w:t>
            </w:r>
          </w:p>
        </w:tc>
        <w:tc>
          <w:tcPr>
            <w:tcW w:w="1388"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医师</w:t>
            </w:r>
          </w:p>
        </w:tc>
        <w:tc>
          <w:tcPr>
            <w:tcW w:w="1664"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文献检索及评价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秦红</w:t>
            </w:r>
          </w:p>
        </w:tc>
        <w:tc>
          <w:tcPr>
            <w:tcW w:w="900"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硕士</w:t>
            </w:r>
          </w:p>
        </w:tc>
        <w:tc>
          <w:tcPr>
            <w:tcW w:w="2221"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广东省中医院</w:t>
            </w:r>
          </w:p>
        </w:tc>
        <w:tc>
          <w:tcPr>
            <w:tcW w:w="1210"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无</w:t>
            </w:r>
          </w:p>
        </w:tc>
        <w:tc>
          <w:tcPr>
            <w:tcW w:w="1388"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医师</w:t>
            </w:r>
          </w:p>
        </w:tc>
        <w:tc>
          <w:tcPr>
            <w:tcW w:w="1664"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文献检索及评价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郭权来</w:t>
            </w:r>
          </w:p>
        </w:tc>
        <w:tc>
          <w:tcPr>
            <w:tcW w:w="900"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硕士</w:t>
            </w:r>
          </w:p>
        </w:tc>
        <w:tc>
          <w:tcPr>
            <w:tcW w:w="2221"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广东省中医院</w:t>
            </w:r>
          </w:p>
        </w:tc>
        <w:tc>
          <w:tcPr>
            <w:tcW w:w="1210"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无</w:t>
            </w:r>
          </w:p>
        </w:tc>
        <w:tc>
          <w:tcPr>
            <w:tcW w:w="1388"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医师</w:t>
            </w:r>
          </w:p>
        </w:tc>
        <w:tc>
          <w:tcPr>
            <w:tcW w:w="1664"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文献检索及评价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9"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丛小飞</w:t>
            </w:r>
          </w:p>
        </w:tc>
        <w:tc>
          <w:tcPr>
            <w:tcW w:w="900"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硕士</w:t>
            </w:r>
          </w:p>
        </w:tc>
        <w:tc>
          <w:tcPr>
            <w:tcW w:w="2221"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广东省中医院</w:t>
            </w:r>
          </w:p>
        </w:tc>
        <w:tc>
          <w:tcPr>
            <w:tcW w:w="1210"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无</w:t>
            </w:r>
          </w:p>
        </w:tc>
        <w:tc>
          <w:tcPr>
            <w:tcW w:w="1388"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医师</w:t>
            </w:r>
          </w:p>
        </w:tc>
        <w:tc>
          <w:tcPr>
            <w:tcW w:w="1664" w:type="dxa"/>
            <w:vAlign w:val="center"/>
          </w:tcPr>
          <w:p>
            <w:pPr>
              <w:jc w:val="center"/>
              <w:rPr>
                <w:rFonts w:ascii="仿宋" w:hAnsi="仿宋" w:eastAsia="仿宋" w:cs="仿宋"/>
                <w:color w:val="000000"/>
                <w:kern w:val="0"/>
                <w:sz w:val="21"/>
                <w:szCs w:val="21"/>
              </w:rPr>
            </w:pPr>
            <w:r>
              <w:rPr>
                <w:rFonts w:hint="eastAsia" w:ascii="仿宋" w:hAnsi="仿宋" w:eastAsia="仿宋" w:cs="仿宋"/>
                <w:color w:val="000000"/>
                <w:kern w:val="0"/>
                <w:sz w:val="21"/>
                <w:szCs w:val="21"/>
              </w:rPr>
              <w:t>文献检索及评价</w:t>
            </w:r>
          </w:p>
        </w:tc>
      </w:tr>
    </w:tbl>
    <w:p>
      <w:pPr>
        <w:pStyle w:val="2"/>
        <w:rPr>
          <w:rFonts w:ascii="黑体" w:hAnsi="黑体" w:eastAsia="黑体" w:cs="黑体"/>
          <w:bCs/>
          <w:sz w:val="24"/>
          <w:szCs w:val="24"/>
        </w:rPr>
      </w:pPr>
      <w:bookmarkStart w:id="9" w:name="_Toc498282951"/>
      <w:bookmarkStart w:id="10" w:name="_Toc3882"/>
      <w:r>
        <w:rPr>
          <w:rFonts w:hint="eastAsia" w:ascii="黑体" w:hAnsi="黑体" w:eastAsia="黑体" w:cs="黑体"/>
          <w:bCs/>
          <w:sz w:val="24"/>
          <w:szCs w:val="24"/>
        </w:rPr>
        <w:t>二、指南编制原则和确定指南主要内容的论据</w:t>
      </w:r>
      <w:bookmarkEnd w:id="9"/>
      <w:r>
        <w:rPr>
          <w:rFonts w:hint="eastAsia" w:ascii="黑体" w:hAnsi="黑体" w:eastAsia="黑体" w:cs="黑体"/>
          <w:bCs/>
          <w:sz w:val="24"/>
          <w:szCs w:val="24"/>
        </w:rPr>
        <w:t xml:space="preserve"> </w:t>
      </w:r>
    </w:p>
    <w:bookmarkEnd w:id="10"/>
    <w:p>
      <w:pPr>
        <w:keepNext/>
        <w:keepLines/>
        <w:pageBreakBefore w:val="0"/>
        <w:kinsoku/>
        <w:wordWrap/>
        <w:overflowPunct/>
        <w:topLinePunct w:val="0"/>
        <w:bidi w:val="0"/>
        <w:snapToGrid/>
        <w:spacing w:line="400" w:lineRule="exact"/>
        <w:ind w:right="0" w:rightChars="0"/>
        <w:textAlignment w:val="auto"/>
        <w:outlineLvl w:val="1"/>
        <w:rPr>
          <w:rFonts w:ascii="仿宋" w:hAnsi="仿宋" w:eastAsia="仿宋" w:cs="仿宋"/>
          <w:b/>
          <w:sz w:val="24"/>
          <w:szCs w:val="24"/>
        </w:rPr>
      </w:pPr>
      <w:bookmarkStart w:id="11" w:name="_Toc498282952"/>
      <w:bookmarkStart w:id="12" w:name="_Toc11504"/>
      <w:r>
        <w:rPr>
          <w:rFonts w:hint="eastAsia" w:ascii="仿宋" w:hAnsi="仿宋" w:eastAsia="仿宋" w:cs="仿宋"/>
          <w:b/>
          <w:sz w:val="24"/>
          <w:szCs w:val="24"/>
        </w:rPr>
        <w:t>1.编制原则</w:t>
      </w:r>
      <w:bookmarkEnd w:id="11"/>
      <w:bookmarkEnd w:id="12"/>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近年来，伴随着急性心肌梗死治疗取得的重要进展，美国心脏病学会/美国心脏协会(ACC/AHA)、欧洲心脏病学会（ESC）等权威机构先后颁布了急性心肌梗死相关的指南并进行着不断更新。尤其是2007年欧洲心脏病学会等4个学会发布的关于“心肌梗死的全球统一定义”，对AMI的临床诊断及科学研究产生了深刻影响。</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急性心肌梗死属中医学胸痹心痛范畴，在长期的临床实践中，中医中药在急性心肌梗死预防和治疗方面发挥着重要作用，且人们也在不断地开展着中医药防治急性心肌梗死的规范化、标准化工作：《胸痹心痛中医病证诊断疗效标准》、《中医内科常见病诊疗指南--胸痹心痛》及中华医学会心血管病学分会、中华心血管病杂志编辑委员会和中国循环杂志编辑委员会等也先后制定我国的《急性心肌梗死的诊断和治疗指南》、《急性ST段抬高型心肌梗死诊断和治疗指南》并进行了更新，有效促进了AMI的规范诊疗。</w:t>
      </w:r>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但近年来，随着循证医学的发展及高质量临床研究证据的产生，循证指南体现出更强的科学性、代表性和权威性。2014年，中国医师协会中西医结合医师分会联合中国中西医结合学会心血管病专业委员会制定了我国《急性心肌梗死中西医结合诊疗专家共识》，充分肯定了中医药防治急性心肌梗死的地位。在上述工作基础上，本指南工作组组织临床医学专家、医学统计学专家和临床流行病学专家等共同参与，立足于国内外中医药防治AMI的研究成果，借鉴循证医学指南制定的技术和方法，对现有古今文献进行挖掘、整理、筛选和评价，基于GRADE标准建立证据分级体系，通过专家评审与论证，形成了有证据级别及推荐意见的临床实践指南。</w:t>
      </w:r>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rPr>
      </w:pPr>
    </w:p>
    <w:p>
      <w:pPr>
        <w:keepNext/>
        <w:keepLines/>
        <w:pageBreakBefore w:val="0"/>
        <w:kinsoku/>
        <w:wordWrap/>
        <w:overflowPunct/>
        <w:topLinePunct w:val="0"/>
        <w:bidi w:val="0"/>
        <w:snapToGrid/>
        <w:spacing w:line="400" w:lineRule="exact"/>
        <w:ind w:right="0" w:rightChars="0"/>
        <w:textAlignment w:val="auto"/>
        <w:outlineLvl w:val="1"/>
        <w:rPr>
          <w:rFonts w:ascii="仿宋" w:hAnsi="仿宋" w:eastAsia="仿宋" w:cs="仿宋"/>
          <w:b/>
          <w:bCs/>
          <w:color w:val="000000"/>
          <w:sz w:val="24"/>
          <w:szCs w:val="24"/>
        </w:rPr>
      </w:pPr>
      <w:bookmarkStart w:id="13" w:name="_Toc478"/>
      <w:bookmarkStart w:id="14" w:name="_Toc498282953"/>
      <w:r>
        <w:rPr>
          <w:rFonts w:hint="eastAsia" w:ascii="仿宋" w:hAnsi="仿宋" w:eastAsia="仿宋" w:cs="仿宋"/>
          <w:b/>
          <w:sz w:val="24"/>
          <w:szCs w:val="24"/>
        </w:rPr>
        <w:t>2.主要内容</w:t>
      </w:r>
      <w:bookmarkEnd w:id="13"/>
      <w:bookmarkEnd w:id="14"/>
    </w:p>
    <w:p>
      <w:pPr>
        <w:pageBreakBefore w:val="0"/>
        <w:kinsoku/>
        <w:wordWrap/>
        <w:overflowPunct/>
        <w:topLinePunct w:val="0"/>
        <w:autoSpaceDE w:val="0"/>
        <w:autoSpaceDN w:val="0"/>
        <w:bidi w:val="0"/>
        <w:adjustRightInd w:val="0"/>
        <w:snapToGrid/>
        <w:spacing w:line="400" w:lineRule="exact"/>
        <w:ind w:right="0" w:rightChars="0" w:firstLine="480" w:firstLineChars="200"/>
        <w:textAlignment w:val="auto"/>
        <w:rPr>
          <w:rFonts w:ascii="仿宋" w:hAnsi="仿宋" w:eastAsia="仿宋" w:cs="仿宋"/>
          <w:sz w:val="24"/>
          <w:szCs w:val="24"/>
        </w:rPr>
      </w:pPr>
      <w:r>
        <w:rPr>
          <w:rFonts w:hint="eastAsia" w:ascii="仿宋" w:hAnsi="仿宋" w:eastAsia="仿宋" w:cs="仿宋"/>
          <w:sz w:val="24"/>
          <w:szCs w:val="24"/>
        </w:rPr>
        <w:t>本指南提出了急性心肌梗死的预防、诊断、鉴别诊断、辨治建议等。</w:t>
      </w:r>
    </w:p>
    <w:p>
      <w:pPr>
        <w:pageBreakBefore w:val="0"/>
        <w:kinsoku/>
        <w:wordWrap/>
        <w:overflowPunct/>
        <w:topLinePunct w:val="0"/>
        <w:autoSpaceDE w:val="0"/>
        <w:autoSpaceDN w:val="0"/>
        <w:bidi w:val="0"/>
        <w:adjustRightInd w:val="0"/>
        <w:snapToGrid/>
        <w:spacing w:line="400" w:lineRule="exact"/>
        <w:ind w:right="0" w:rightChars="0" w:firstLine="480" w:firstLineChars="200"/>
        <w:textAlignment w:val="auto"/>
        <w:rPr>
          <w:rFonts w:ascii="仿宋" w:hAnsi="仿宋" w:eastAsia="仿宋" w:cs="仿宋"/>
          <w:sz w:val="24"/>
          <w:szCs w:val="24"/>
        </w:rPr>
      </w:pPr>
      <w:r>
        <w:rPr>
          <w:rFonts w:hint="eastAsia" w:ascii="仿宋" w:hAnsi="仿宋" w:eastAsia="仿宋" w:cs="仿宋"/>
          <w:sz w:val="24"/>
          <w:szCs w:val="24"/>
        </w:rPr>
        <w:t>急性心肌梗死治疗的关键是早期快速开通梗死相关冠状动脉，进行再灌注治疗，故本指南推荐的以中医药为主要内容的预防、诊断和治疗建议并不能完全替代现代医学治疗方法。</w:t>
      </w:r>
    </w:p>
    <w:p>
      <w:pPr>
        <w:pageBreakBefore w:val="0"/>
        <w:kinsoku/>
        <w:wordWrap/>
        <w:overflowPunct/>
        <w:topLinePunct w:val="0"/>
        <w:autoSpaceDE w:val="0"/>
        <w:autoSpaceDN w:val="0"/>
        <w:bidi w:val="0"/>
        <w:adjustRightInd w:val="0"/>
        <w:snapToGrid/>
        <w:spacing w:line="400" w:lineRule="exact"/>
        <w:ind w:right="0" w:rightChars="0" w:firstLine="480" w:firstLineChars="200"/>
        <w:textAlignment w:val="auto"/>
        <w:rPr>
          <w:rFonts w:ascii="仿宋" w:hAnsi="仿宋" w:eastAsia="仿宋" w:cs="仿宋"/>
          <w:sz w:val="24"/>
          <w:szCs w:val="24"/>
        </w:rPr>
      </w:pPr>
      <w:r>
        <w:rPr>
          <w:rFonts w:hint="eastAsia" w:ascii="仿宋" w:hAnsi="仿宋" w:eastAsia="仿宋" w:cs="仿宋"/>
          <w:sz w:val="24"/>
          <w:szCs w:val="24"/>
        </w:rPr>
        <w:t>本指南适用于18周岁以上人群，但儿童、妊娠及产褥期妇女、有严重器官功能不全的患者在应用本指南治疗时需要进一步审慎评估。</w:t>
      </w:r>
    </w:p>
    <w:p>
      <w:pPr>
        <w:pageBreakBefore w:val="0"/>
        <w:kinsoku/>
        <w:wordWrap/>
        <w:overflowPunct/>
        <w:topLinePunct w:val="0"/>
        <w:autoSpaceDE w:val="0"/>
        <w:autoSpaceDN w:val="0"/>
        <w:bidi w:val="0"/>
        <w:adjustRightInd w:val="0"/>
        <w:snapToGrid/>
        <w:spacing w:line="400" w:lineRule="exact"/>
        <w:ind w:right="0" w:rightChars="0" w:firstLine="480" w:firstLineChars="200"/>
        <w:textAlignment w:val="auto"/>
        <w:rPr>
          <w:rFonts w:ascii="仿宋" w:hAnsi="仿宋" w:eastAsia="仿宋" w:cs="仿宋"/>
          <w:sz w:val="24"/>
          <w:szCs w:val="24"/>
        </w:rPr>
      </w:pPr>
      <w:r>
        <w:rPr>
          <w:rFonts w:hint="eastAsia" w:ascii="仿宋" w:hAnsi="仿宋" w:eastAsia="仿宋" w:cs="仿宋"/>
          <w:sz w:val="24"/>
          <w:szCs w:val="24"/>
        </w:rPr>
        <w:t>本指南适合从事中医、中西医结合工作的临床医师及综合性医院使用。</w:t>
      </w:r>
    </w:p>
    <w:p>
      <w:pPr>
        <w:pageBreakBefore w:val="0"/>
        <w:kinsoku/>
        <w:wordWrap/>
        <w:overflowPunct/>
        <w:topLinePunct w:val="0"/>
        <w:autoSpaceDE w:val="0"/>
        <w:autoSpaceDN w:val="0"/>
        <w:bidi w:val="0"/>
        <w:adjustRightInd w:val="0"/>
        <w:snapToGrid/>
        <w:spacing w:line="400" w:lineRule="exact"/>
        <w:ind w:right="0" w:rightChars="0" w:firstLine="480" w:firstLineChars="200"/>
        <w:textAlignment w:val="auto"/>
        <w:rPr>
          <w:rFonts w:ascii="仿宋" w:hAnsi="仿宋" w:eastAsia="仿宋" w:cs="仿宋"/>
          <w:sz w:val="24"/>
          <w:szCs w:val="24"/>
        </w:rPr>
      </w:pPr>
      <w:r>
        <w:rPr>
          <w:rFonts w:hint="eastAsia" w:ascii="仿宋" w:hAnsi="仿宋" w:eastAsia="仿宋" w:cs="仿宋"/>
          <w:sz w:val="24"/>
          <w:szCs w:val="24"/>
        </w:rPr>
        <w:t xml:space="preserve">下列术语和定义适用于本指南。 </w:t>
      </w:r>
    </w:p>
    <w:p>
      <w:pPr>
        <w:pageBreakBefore w:val="0"/>
        <w:kinsoku/>
        <w:wordWrap/>
        <w:overflowPunct/>
        <w:topLinePunct w:val="0"/>
        <w:bidi w:val="0"/>
        <w:snapToGrid/>
        <w:spacing w:line="400" w:lineRule="exact"/>
        <w:ind w:right="0" w:rightChars="0"/>
        <w:jc w:val="left"/>
        <w:textAlignment w:val="auto"/>
        <w:rPr>
          <w:rFonts w:ascii="仿宋" w:hAnsi="仿宋" w:eastAsia="仿宋" w:cs="仿宋"/>
          <w:sz w:val="24"/>
          <w:szCs w:val="24"/>
        </w:rPr>
      </w:pPr>
      <w:r>
        <w:rPr>
          <w:rFonts w:hint="eastAsia" w:ascii="仿宋" w:hAnsi="仿宋" w:eastAsia="仿宋" w:cs="仿宋"/>
          <w:sz w:val="24"/>
          <w:szCs w:val="24"/>
        </w:rPr>
        <w:t>　　急性心肌梗死（Acute Myocardial Infarction，AMI）在冠状动脉病变的基础上，发生冠状动脉血供急剧减少或中断，使相应的心肌严重而持久地急性缺血导致心肌坏死（全球统一新定义）。</w:t>
      </w:r>
    </w:p>
    <w:p>
      <w:pPr>
        <w:pageBreakBefore w:val="0"/>
        <w:kinsoku/>
        <w:wordWrap/>
        <w:overflowPunct/>
        <w:topLinePunct w:val="0"/>
        <w:bidi w:val="0"/>
        <w:snapToGrid/>
        <w:spacing w:line="400" w:lineRule="exact"/>
        <w:ind w:right="0" w:rightChars="0"/>
        <w:jc w:val="left"/>
        <w:textAlignment w:val="auto"/>
        <w:rPr>
          <w:rFonts w:ascii="仿宋" w:hAnsi="仿宋" w:eastAsia="仿宋" w:cs="仿宋"/>
          <w:sz w:val="24"/>
          <w:szCs w:val="24"/>
        </w:rPr>
      </w:pPr>
      <w:r>
        <w:rPr>
          <w:rFonts w:hint="eastAsia" w:ascii="仿宋" w:hAnsi="仿宋" w:eastAsia="仿宋" w:cs="仿宋"/>
          <w:sz w:val="24"/>
          <w:szCs w:val="24"/>
        </w:rPr>
        <w:t>　　急性ST段抬高型心肌梗死（ST-Elevation Myocardial Infarction，STEMI）在急性心肌梗死的基础上，出现有心电图ST段持续性抬高的类型。</w:t>
      </w:r>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急性非ST段抬高型心肌梗死（Non-ST-Elevation Myocardial Infarction，NSTEMI）在急性心肌梗死的基础上，未表现出心电图ST段持续性抬高的类型。</w:t>
      </w:r>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sz w:val="24"/>
          <w:szCs w:val="24"/>
        </w:rPr>
      </w:pPr>
    </w:p>
    <w:p>
      <w:pPr>
        <w:pStyle w:val="2"/>
        <w:pageBreakBefore w:val="0"/>
        <w:kinsoku/>
        <w:wordWrap/>
        <w:overflowPunct/>
        <w:topLinePunct w:val="0"/>
        <w:bidi w:val="0"/>
        <w:snapToGrid/>
        <w:spacing w:before="0" w:after="0" w:line="400" w:lineRule="exact"/>
        <w:ind w:right="0" w:rightChars="0"/>
        <w:textAlignment w:val="auto"/>
        <w:rPr>
          <w:rFonts w:ascii="黑体" w:hAnsi="黑体" w:eastAsia="黑体" w:cs="黑体"/>
          <w:bCs/>
          <w:sz w:val="24"/>
          <w:szCs w:val="24"/>
        </w:rPr>
      </w:pPr>
      <w:bookmarkStart w:id="15" w:name="_Toc498282954"/>
      <w:bookmarkStart w:id="16" w:name="_Toc16070"/>
      <w:r>
        <w:rPr>
          <w:rFonts w:hint="eastAsia" w:ascii="黑体" w:hAnsi="黑体" w:eastAsia="黑体" w:cs="黑体"/>
          <w:bCs/>
          <w:sz w:val="24"/>
          <w:szCs w:val="24"/>
        </w:rPr>
        <w:t>三、主要试验(或验证)的分析与综述报告,技术论证,预期效果</w:t>
      </w:r>
      <w:bookmarkEnd w:id="15"/>
      <w:r>
        <w:rPr>
          <w:rFonts w:hint="eastAsia" w:ascii="黑体" w:hAnsi="黑体" w:eastAsia="黑体" w:cs="黑体"/>
          <w:bCs/>
          <w:sz w:val="24"/>
          <w:szCs w:val="24"/>
        </w:rPr>
        <w:t xml:space="preserve"> </w:t>
      </w:r>
    </w:p>
    <w:bookmarkEnd w:id="16"/>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质量方法学评价：在本指南编制之始，即邀请广东省中医院欧爱华教授、郭新峰教授、刘少南研究员等方法学专家就指南编制的相关注意事项、文献检索和评价等进行了专题培训，工作组成员也多次参加了由学会组织的中医药标准化培训，对中医标准化工作有了深刻的认识，对指南撰写的要求有了全面的了解，为指南编制工作提供了基础。2015年11月召开的指南初稿论证会，工作组邀请了方法学专家共同参加，为本指南的方法学质量提供了保障。</w:t>
      </w:r>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一致性评价：自2015年12月-2016年6月，该指南在全国范围内20家协作单位开展了一致性评价工作，完成200份评价病例调查表。对调查表信息进行总结和分析，发现该指南对急性心肌梗死的中医、西医疾病诊断符合率较高，中医诊治指导效果明显，中医治则治法、辨证论治与指南符合率较高。</w:t>
      </w:r>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rPr>
      </w:pPr>
    </w:p>
    <w:p>
      <w:pPr>
        <w:pStyle w:val="2"/>
        <w:pageBreakBefore w:val="0"/>
        <w:kinsoku/>
        <w:wordWrap/>
        <w:overflowPunct/>
        <w:topLinePunct w:val="0"/>
        <w:bidi w:val="0"/>
        <w:snapToGrid/>
        <w:spacing w:before="0" w:after="0" w:line="400" w:lineRule="exact"/>
        <w:ind w:right="0" w:rightChars="0"/>
        <w:textAlignment w:val="auto"/>
        <w:rPr>
          <w:rFonts w:ascii="黑体" w:hAnsi="黑体" w:eastAsia="黑体" w:cs="黑体"/>
          <w:bCs/>
          <w:sz w:val="24"/>
          <w:szCs w:val="24"/>
        </w:rPr>
      </w:pPr>
      <w:bookmarkStart w:id="17" w:name="_Toc498282955"/>
      <w:bookmarkStart w:id="18" w:name="_Toc16805"/>
      <w:r>
        <w:rPr>
          <w:rFonts w:hint="eastAsia" w:ascii="黑体" w:hAnsi="黑体" w:eastAsia="黑体" w:cs="黑体"/>
          <w:bCs/>
          <w:sz w:val="24"/>
          <w:szCs w:val="24"/>
        </w:rPr>
        <w:t>四、与有关的现行法律、法规和强制性标准的关系</w:t>
      </w:r>
      <w:bookmarkEnd w:id="17"/>
      <w:r>
        <w:rPr>
          <w:rFonts w:hint="eastAsia" w:ascii="黑体" w:hAnsi="黑体" w:eastAsia="黑体" w:cs="黑体"/>
          <w:bCs/>
          <w:sz w:val="24"/>
          <w:szCs w:val="24"/>
        </w:rPr>
        <w:t xml:space="preserve"> </w:t>
      </w:r>
    </w:p>
    <w:bookmarkEnd w:id="18"/>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急性心肌梗死的西医治疗目前遵循2015年发布的急性</w:t>
      </w:r>
      <w:r>
        <w:rPr>
          <w:rFonts w:hint="eastAsia" w:ascii="微软雅黑" w:hAnsi="微软雅黑" w:eastAsia="微软雅黑"/>
          <w:color w:val="222222"/>
          <w:sz w:val="24"/>
          <w:szCs w:val="24"/>
          <w:shd w:val="clear" w:color="auto" w:fill="FFFFFF"/>
        </w:rPr>
        <w:t>ST</w:t>
      </w:r>
      <w:r>
        <w:rPr>
          <w:rFonts w:hint="eastAsia" w:ascii="仿宋" w:hAnsi="仿宋" w:eastAsia="仿宋" w:cs="仿宋"/>
          <w:color w:val="000000"/>
          <w:sz w:val="24"/>
          <w:szCs w:val="24"/>
        </w:rPr>
        <w:t xml:space="preserve">段抬高型心肌梗死诊断和治疗指南（心肌梗死全球定义），本指南中亦有明确，针对急性心肌梗死的西医治疗参照相关指南。急性心肌梗死至今尚没有权威机构发布的中医临床诊疗指南，本指南遵循循证指南制定的原则和方法，在综合了《急性心肌梗死的诊断和治疗指南》、《急性ST段抬高型心肌梗死诊断和治疗指南》、《急性心肌梗死中西医结合诊疗专家共识》等的基础上完成的，无论从整体框架和细节内容都是丰满、完善和规范的。 </w:t>
      </w:r>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rPr>
      </w:pPr>
    </w:p>
    <w:p>
      <w:pPr>
        <w:pStyle w:val="2"/>
        <w:pageBreakBefore w:val="0"/>
        <w:kinsoku/>
        <w:wordWrap/>
        <w:overflowPunct/>
        <w:topLinePunct w:val="0"/>
        <w:bidi w:val="0"/>
        <w:snapToGrid/>
        <w:spacing w:before="0" w:after="0" w:line="400" w:lineRule="exact"/>
        <w:ind w:right="0" w:rightChars="0"/>
        <w:textAlignment w:val="auto"/>
        <w:rPr>
          <w:rFonts w:ascii="黑体" w:hAnsi="黑体" w:eastAsia="黑体" w:cs="黑体"/>
          <w:color w:val="000000"/>
          <w:sz w:val="24"/>
          <w:szCs w:val="24"/>
        </w:rPr>
      </w:pPr>
      <w:bookmarkStart w:id="19" w:name="_Toc498282956"/>
      <w:bookmarkStart w:id="20" w:name="_Toc1591"/>
      <w:r>
        <w:rPr>
          <w:rFonts w:hint="eastAsia" w:ascii="黑体" w:hAnsi="黑体" w:eastAsia="黑体" w:cs="黑体"/>
          <w:bCs/>
          <w:sz w:val="24"/>
          <w:szCs w:val="24"/>
        </w:rPr>
        <w:t>五、重大分歧意见的处理经过和依据</w:t>
      </w:r>
      <w:bookmarkEnd w:id="19"/>
      <w:bookmarkEnd w:id="20"/>
      <w:r>
        <w:rPr>
          <w:rFonts w:hint="eastAsia" w:ascii="黑体" w:hAnsi="黑体" w:eastAsia="黑体" w:cs="黑体"/>
          <w:color w:val="000000"/>
          <w:sz w:val="24"/>
          <w:szCs w:val="24"/>
        </w:rPr>
        <w:t xml:space="preserve"> </w:t>
      </w:r>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輀..." w:hAnsi="仿宋¨.輀..." w:eastAsia="仿宋¨.輀..."/>
          <w:color w:val="000000"/>
          <w:sz w:val="24"/>
          <w:szCs w:val="24"/>
        </w:rPr>
      </w:pPr>
      <w:r>
        <w:rPr>
          <w:rFonts w:hint="eastAsia" w:ascii="仿宋¨.輀..." w:hAnsi="仿宋¨.輀..." w:eastAsia="仿宋¨.輀..."/>
          <w:color w:val="000000"/>
          <w:sz w:val="24"/>
          <w:szCs w:val="24"/>
        </w:rPr>
        <w:t>本指南制定过程中，针对专家论证意见、一致性评价意见及专家指导组审核意见，严格遵照循证指南制定的原则和方法，经由指南工作组所有专家讨论后形成统一意见，再对指南文本进行补充、完善和修改，最终形成本公开征求意见稿。</w:t>
      </w:r>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輀..." w:hAnsi="仿宋¨.輀..." w:eastAsia="仿宋¨.輀..."/>
          <w:color w:val="000000"/>
          <w:sz w:val="24"/>
          <w:szCs w:val="24"/>
        </w:rPr>
      </w:pPr>
    </w:p>
    <w:p>
      <w:pPr>
        <w:pStyle w:val="2"/>
        <w:pageBreakBefore w:val="0"/>
        <w:kinsoku/>
        <w:wordWrap/>
        <w:overflowPunct/>
        <w:topLinePunct w:val="0"/>
        <w:bidi w:val="0"/>
        <w:snapToGrid/>
        <w:spacing w:before="0" w:after="0" w:line="400" w:lineRule="exact"/>
        <w:ind w:right="0" w:rightChars="0"/>
        <w:textAlignment w:val="auto"/>
        <w:rPr>
          <w:rFonts w:ascii="仿宋¨.輀..." w:hAnsi="仿宋¨.輀..." w:eastAsia="仿宋¨.輀..."/>
          <w:color w:val="000000"/>
          <w:sz w:val="24"/>
          <w:szCs w:val="24"/>
        </w:rPr>
      </w:pPr>
      <w:bookmarkStart w:id="21" w:name="_Toc8997"/>
      <w:bookmarkStart w:id="22" w:name="_Toc498282957"/>
      <w:r>
        <w:rPr>
          <w:rFonts w:hint="eastAsia" w:ascii="黑体" w:hAnsi="黑体" w:eastAsia="黑体" w:cs="黑体"/>
          <w:b w:val="0"/>
          <w:bCs/>
          <w:sz w:val="24"/>
          <w:szCs w:val="24"/>
        </w:rPr>
        <w:t>六、作为推荐性标准的建议</w:t>
      </w:r>
      <w:bookmarkEnd w:id="21"/>
      <w:bookmarkEnd w:id="22"/>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对于急性心肌梗死的辨治，本指南推荐采用虚实辨证体系为纲领，参照2014年发表的《急性心肌梗死中西医结合诊疗专家共识》，AMI临床常见证候为气虚血瘀证、痰瘀互阻证、正虚阳脱证及气阴两虚证四型。其它单纯证型或复杂证型可基于证素进行组合辨证而进行分型治疗。同时针对急性心肌梗死的危险因素进行预防治疗。</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１.基本证型</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气虚血瘀证</w:t>
      </w:r>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推荐</w:t>
      </w:r>
      <w:r>
        <w:rPr>
          <w:rFonts w:hint="eastAsia" w:ascii="仿宋" w:hAnsi="仿宋" w:eastAsia="仿宋" w:cs="仿宋"/>
          <w:color w:val="000000"/>
          <w:sz w:val="24"/>
          <w:szCs w:val="24"/>
          <w:lang w:val="en-US" w:eastAsia="zh-CN"/>
        </w:rPr>
        <w:t>处方</w:t>
      </w:r>
      <w:r>
        <w:rPr>
          <w:rFonts w:hint="eastAsia" w:ascii="仿宋" w:hAnsi="仿宋" w:eastAsia="仿宋" w:cs="仿宋"/>
          <w:color w:val="000000"/>
          <w:sz w:val="24"/>
          <w:szCs w:val="24"/>
        </w:rPr>
        <w:t>：保元汤合血府逐瘀汤（出自《博爱心鉴》和《医林改错》）（推荐强度：强；证据级别：中等）。</w:t>
      </w:r>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推荐中成药</w:t>
      </w:r>
      <w:r>
        <w:rPr>
          <w:rFonts w:hint="eastAsia" w:ascii="仿宋" w:hAnsi="仿宋" w:eastAsia="仿宋" w:cs="仿宋"/>
          <w:color w:val="000000"/>
          <w:sz w:val="24"/>
          <w:szCs w:val="24"/>
          <w:lang w:val="en-US" w:eastAsia="zh-CN"/>
        </w:rPr>
        <w:t>1</w:t>
      </w:r>
      <w:r>
        <w:rPr>
          <w:rFonts w:hint="eastAsia" w:ascii="仿宋" w:hAnsi="仿宋" w:eastAsia="仿宋" w:cs="仿宋"/>
          <w:color w:val="000000"/>
          <w:sz w:val="24"/>
          <w:szCs w:val="24"/>
        </w:rPr>
        <w:t>：通心络胶囊（推荐强度：强；证据级别：中等）</w:t>
      </w:r>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推荐中成药</w:t>
      </w: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rPr>
        <w:t>：麝香通心滴丸（推荐强度：弱；证据级别：低）</w:t>
      </w:r>
    </w:p>
    <w:p>
      <w:pPr>
        <w:pageBreakBefore w:val="0"/>
        <w:numPr>
          <w:ilvl w:val="0"/>
          <w:numId w:val="2"/>
        </w:numPr>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痰瘀互阻证</w:t>
      </w:r>
    </w:p>
    <w:p>
      <w:pPr>
        <w:pageBreakBefore w:val="0"/>
        <w:numPr>
          <w:numId w:val="0"/>
        </w:numPr>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推荐</w:t>
      </w:r>
      <w:r>
        <w:rPr>
          <w:rFonts w:hint="eastAsia" w:ascii="仿宋" w:hAnsi="仿宋" w:eastAsia="仿宋" w:cs="仿宋"/>
          <w:color w:val="000000"/>
          <w:sz w:val="24"/>
          <w:szCs w:val="24"/>
          <w:lang w:val="en-US" w:eastAsia="zh-CN"/>
        </w:rPr>
        <w:t>处方</w:t>
      </w:r>
      <w:r>
        <w:rPr>
          <w:rFonts w:hint="eastAsia" w:ascii="仿宋" w:hAnsi="仿宋" w:eastAsia="仿宋" w:cs="仿宋"/>
          <w:color w:val="000000"/>
          <w:sz w:val="24"/>
          <w:szCs w:val="24"/>
        </w:rPr>
        <w:t>：栝蒌薤白半夏汤合桃红四物汤加减（出自《金匮要略》及《医宗金鉴》）（推荐强度：强；证据级别：低）。</w:t>
      </w:r>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推荐中成药：丹蒌片（推荐强度：弱；证据级别：低）</w:t>
      </w:r>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w:t>
      </w:r>
      <w:r>
        <w:rPr>
          <w:rFonts w:hint="eastAsia" w:ascii="仿宋" w:hAnsi="仿宋" w:eastAsia="仿宋" w:cs="仿宋"/>
          <w:color w:val="000000"/>
          <w:sz w:val="24"/>
          <w:szCs w:val="24"/>
          <w:lang w:val="en-US" w:eastAsia="zh-CN"/>
        </w:rPr>
        <w:t>3）正虚阳脱证</w:t>
      </w:r>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推荐</w:t>
      </w:r>
      <w:r>
        <w:rPr>
          <w:rFonts w:hint="eastAsia" w:ascii="仿宋" w:hAnsi="仿宋" w:eastAsia="仿宋" w:cs="仿宋"/>
          <w:color w:val="000000"/>
          <w:sz w:val="24"/>
          <w:szCs w:val="24"/>
          <w:lang w:val="en-US" w:eastAsia="zh-CN"/>
        </w:rPr>
        <w:t>处方：参附龙牡汤合四逆加人参汤加减（出自《伤寒论》）（推荐级别：强，证据级别：低）。</w:t>
      </w:r>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w:t>
      </w:r>
      <w:r>
        <w:rPr>
          <w:rFonts w:hint="eastAsia" w:ascii="仿宋" w:hAnsi="仿宋" w:eastAsia="仿宋" w:cs="仿宋"/>
          <w:color w:val="000000"/>
          <w:sz w:val="24"/>
          <w:szCs w:val="24"/>
          <w:lang w:val="en-US" w:eastAsia="zh-CN"/>
        </w:rPr>
        <w:t>4）气阴两虚证</w:t>
      </w:r>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推荐</w:t>
      </w:r>
      <w:r>
        <w:rPr>
          <w:rFonts w:hint="eastAsia" w:ascii="仿宋" w:hAnsi="仿宋" w:eastAsia="仿宋" w:cs="仿宋"/>
          <w:color w:val="000000"/>
          <w:sz w:val="24"/>
          <w:szCs w:val="24"/>
          <w:lang w:val="en-US" w:eastAsia="zh-CN"/>
        </w:rPr>
        <w:t>处方：生脉散合人参养荣汤加减（出自《医学启源》及《三因极一病证方论》）（推荐强度：强；证据级别：低）。</w:t>
      </w:r>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参芎葡萄糖注射液（推荐强度：弱；证据级别：低）</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２.单证素</w:t>
      </w:r>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血瘀证</w:t>
      </w:r>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推荐中成药１：复方丹参滴丸（推荐强度：强；证据级别：中等）</w:t>
      </w:r>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推荐中成药２：麝香保心丸（推荐强度：强；证据级别：低）</w:t>
      </w:r>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推荐中成药３：丹七胶囊（丹七软胶囊、丹七片）（推荐强度：弱；证据级别：低）</w:t>
      </w:r>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推荐中成药注射液１：丹参酮IIA磺酸钠注射液（推荐强度：弱；证据级别：低）</w:t>
      </w:r>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推荐中成药注射液２：丹红注射液（推荐强度：弱；证据级别：低）</w:t>
      </w:r>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推荐中成药注射液３：疏血通注射液（推荐强度：弱；证据级别：低）</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３.危险因素预防</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（１）高血压</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推荐中成药：松龄血脉康胶囊（推荐强度：弱；证据级别：低）</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（２）血脂异常</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推荐中成药：血脂康胶囊（推荐强度：强；证据级别：中等）</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（３）抗血小板治疗</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推荐中成药：芪参益气滴丸（推荐强度：强；证据级别：中等）</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４.并发症防护</w:t>
      </w:r>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（１）心力衰竭</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推荐口服中成药：芪苈强心胶囊（推荐强度：强；证据级别：低）</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推荐中成药注射剂１：参附注射液（推荐强度：强；证据级别：中等）</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推荐中成药注射剂２：参麦注射液（推荐强度：弱；证据级别：低）</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推荐中成药注射剂３：黄芪注射液（推荐强度：弱；证据级别：低）</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推荐中成药注射剂４：心脉隆注射液（推荐强度：弱；证据级别：低）</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（２）心源性休克</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推荐中成药注射剂：参附注射液（推荐强度：强；证据级别：中等）</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（３）心律失常</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推荐中成药１：参松养心胶囊（推荐强度：强；证据级别：中等）</w:t>
      </w:r>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推荐中成药２：稳心颗粒（推荐强度：强；证据级别：中等）</w:t>
      </w:r>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推荐中成药３：心宝丸（推荐强度：强；证据级别：低）</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（４）冠脉介入治疗后并发症</w:t>
      </w:r>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推荐中成药： 芎芍胶囊（推荐强度：强；证据级别：低）</w:t>
      </w:r>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rPr>
      </w:pPr>
    </w:p>
    <w:p>
      <w:pPr>
        <w:pStyle w:val="2"/>
        <w:pageBreakBefore w:val="0"/>
        <w:kinsoku/>
        <w:wordWrap/>
        <w:overflowPunct/>
        <w:topLinePunct w:val="0"/>
        <w:bidi w:val="0"/>
        <w:snapToGrid/>
        <w:spacing w:before="0" w:after="0" w:line="400" w:lineRule="exact"/>
        <w:ind w:right="0" w:rightChars="0"/>
        <w:textAlignment w:val="auto"/>
        <w:rPr>
          <w:rFonts w:ascii="黑体" w:hAnsi="黑体" w:eastAsia="黑体" w:cs="黑体"/>
          <w:color w:val="000000"/>
          <w:sz w:val="24"/>
          <w:szCs w:val="24"/>
        </w:rPr>
      </w:pPr>
      <w:bookmarkStart w:id="23" w:name="_Toc21983"/>
      <w:bookmarkStart w:id="24" w:name="_Toc498282958"/>
      <w:r>
        <w:rPr>
          <w:rFonts w:hint="eastAsia" w:ascii="黑体" w:hAnsi="黑体" w:eastAsia="黑体" w:cs="黑体"/>
          <w:bCs/>
          <w:sz w:val="24"/>
          <w:szCs w:val="24"/>
        </w:rPr>
        <w:t>七、贯彻指南的要求和措施建议</w:t>
      </w:r>
      <w:bookmarkEnd w:id="23"/>
      <w:bookmarkEnd w:id="24"/>
      <w:r>
        <w:rPr>
          <w:rFonts w:hint="eastAsia" w:ascii="黑体" w:hAnsi="黑体" w:eastAsia="黑体" w:cs="黑体"/>
          <w:color w:val="000000"/>
          <w:sz w:val="24"/>
          <w:szCs w:val="24"/>
        </w:rPr>
        <w:t xml:space="preserve"> </w:t>
      </w:r>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本指南已经在2</w:t>
      </w: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家医院进行了试行评价，工作组根据试行反馈意见进行了初步修订。指南出版后，将继续通过专业学会、学术会议、住院医师规范化培训和继续教育项目等进行进一步宣传和推广。通过更多专业人员的临床应用，发现并收集、记录指南临床应用中的反馈意见，工作组将参考有意义的意见及时对指南作出相应的更新和修订。另外，若产生新的有效的干预方法，或产生证明现有干预方案有利或有弊的证据，或出现新的医疗资源时，工作组也将会对其进行分析、评价后，决定是否对指南进行修订或及时更新。</w:t>
      </w:r>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rPr>
      </w:pPr>
    </w:p>
    <w:p>
      <w:pPr>
        <w:pStyle w:val="2"/>
        <w:pageBreakBefore w:val="0"/>
        <w:kinsoku/>
        <w:wordWrap/>
        <w:overflowPunct/>
        <w:topLinePunct w:val="0"/>
        <w:bidi w:val="0"/>
        <w:snapToGrid/>
        <w:spacing w:before="0" w:after="0" w:line="400" w:lineRule="exact"/>
        <w:ind w:right="0" w:rightChars="0"/>
        <w:textAlignment w:val="auto"/>
        <w:rPr>
          <w:rFonts w:ascii="黑体" w:hAnsi="黑体" w:eastAsia="黑体" w:cs="黑体"/>
          <w:bCs/>
          <w:sz w:val="24"/>
          <w:szCs w:val="24"/>
        </w:rPr>
      </w:pPr>
      <w:bookmarkStart w:id="25" w:name="_Toc498282959"/>
      <w:bookmarkStart w:id="26" w:name="_Toc1233"/>
      <w:r>
        <w:rPr>
          <w:rFonts w:hint="eastAsia" w:ascii="黑体" w:hAnsi="黑体" w:eastAsia="黑体" w:cs="黑体"/>
          <w:bCs/>
          <w:sz w:val="24"/>
          <w:szCs w:val="24"/>
        </w:rPr>
        <w:t>八、其他应予说明的事项</w:t>
      </w:r>
      <w:bookmarkEnd w:id="25"/>
    </w:p>
    <w:bookmarkEnd w:id="26"/>
    <w:p>
      <w:pPr>
        <w:pageBreakBefore w:val="0"/>
        <w:kinsoku/>
        <w:wordWrap/>
        <w:overflowPunct/>
        <w:topLinePunct w:val="0"/>
        <w:bidi w:val="0"/>
        <w:snapToGrid/>
        <w:spacing w:line="400" w:lineRule="exact"/>
        <w:ind w:right="0" w:rightChars="0" w:firstLine="480" w:firstLineChars="200"/>
        <w:textAlignment w:val="auto"/>
        <w:rPr>
          <w:rFonts w:ascii="仿宋" w:hAnsi="仿宋" w:eastAsia="仿宋" w:cs="仿宋"/>
          <w:color w:val="000000"/>
          <w:sz w:val="24"/>
          <w:szCs w:val="24"/>
        </w:rPr>
      </w:pPr>
      <w:r>
        <w:rPr>
          <w:rFonts w:hint="eastAsia" w:ascii="仿宋" w:hAnsi="仿宋" w:eastAsia="仿宋" w:cs="仿宋"/>
          <w:color w:val="000000"/>
          <w:sz w:val="24"/>
          <w:szCs w:val="24"/>
        </w:rPr>
        <w:t>中医古籍中经典理论及方药及名老中医验方为广大中医从业者所接受并广为应用。但这些证据在临床医学证据分级体系中归属于个人经验，由于这些经验大多缺乏大规模RCT试验来验证，证据级别较低。而本指南的制定过程中由于受人员、时间和资源等方面的限制，故仅纳入了证据级别较高的关于中医药干预治疗急性心肌梗死的系统综述和RCT，因此古籍文献及名老中医经验未纳入到本指南推荐的正文部分。</w:t>
      </w:r>
    </w:p>
    <w:p>
      <w:pPr>
        <w:pageBreakBefore w:val="0"/>
        <w:kinsoku/>
        <w:wordWrap/>
        <w:overflowPunct/>
        <w:topLinePunct w:val="0"/>
        <w:bidi w:val="0"/>
        <w:snapToGrid/>
        <w:spacing w:line="400" w:lineRule="exact"/>
        <w:ind w:right="0" w:rightChars="0" w:firstLine="480" w:firstLineChars="200"/>
        <w:textAlignment w:val="auto"/>
        <w:rPr>
          <w:rFonts w:ascii="仿宋" w:hAnsi="仿宋" w:eastAsia="仿宋" w:cs="仿宋"/>
          <w:color w:val="000000"/>
          <w:sz w:val="24"/>
          <w:szCs w:val="24"/>
        </w:rPr>
      </w:pPr>
      <w:r>
        <w:rPr>
          <w:rFonts w:hint="eastAsia" w:ascii="仿宋" w:hAnsi="仿宋" w:eastAsia="仿宋" w:cs="仿宋"/>
          <w:color w:val="000000"/>
          <w:sz w:val="24"/>
          <w:szCs w:val="24"/>
        </w:rPr>
        <w:t>此外，需要指出的是，本指南并不是医疗行为的标准或者规范，而仅仅是对现有目前关于中医药治疗急性心肌梗死的所有证据级别较高的临床证据的整合和声明性文件，旨在帮助临床医师针对特定的临床情况采取适当的医疗决策。随着临床研究的深入开展，新的证据及证据不断产生，本指南提供的推荐建议亦会随之不断的修正。采用指南推荐的方法并不能保证所有患者都能获得理想临床结局。同时就指南本身而言，也不一定包括所有有效的疗法，最终临床治疗措施的抉择还是需要临床医药工作者根据临床的具体情况，并结合自身的经验及患者的意愿作出。</w:t>
      </w:r>
    </w:p>
    <w:p>
      <w:pPr>
        <w:pageBreakBefore w:val="0"/>
        <w:kinsoku/>
        <w:wordWrap/>
        <w:overflowPunct/>
        <w:topLinePunct w:val="0"/>
        <w:bidi w:val="0"/>
        <w:snapToGrid/>
        <w:spacing w:line="400" w:lineRule="exact"/>
        <w:ind w:right="0" w:rightChars="0" w:firstLine="480" w:firstLineChars="200"/>
        <w:textAlignment w:val="auto"/>
        <w:rPr>
          <w:rFonts w:ascii="仿宋" w:hAnsi="仿宋" w:eastAsia="仿宋" w:cs="仿宋"/>
          <w:color w:val="000000"/>
          <w:sz w:val="24"/>
          <w:szCs w:val="24"/>
        </w:rPr>
      </w:pPr>
      <w:r>
        <w:rPr>
          <w:rFonts w:hint="eastAsia" w:ascii="仿宋" w:hAnsi="仿宋" w:eastAsia="仿宋" w:cs="仿宋"/>
          <w:color w:val="000000"/>
          <w:sz w:val="24"/>
          <w:szCs w:val="24"/>
        </w:rPr>
        <w:t>由于循证医学概念引入中医的时间较短，某些理论、观点如何与中医临床实践紧密结合尚存在一些争议，临床医生应逐步学习及接受循证医学理论，采用严格的试验设计来验证中医药干预的真实疗效，从而提升中医药治疗急性心肌梗死的临床证据质量，也为中医药防治急性心肌梗死的临床指南的进一步修订提供依据。根据目前情况，本指南的制定委员会定期委托相关人员对指南进行评议，对出现的新证据进行收集、整理和分型，最后由指南制定委员会决定是否对指南予以修订。一般而言，在出现下列情况时，需要对指南进行修订或更新：①产生了新的有效干预方法；②产生了证明现有干预方法有利或有弊的证据时；③产生了新的重要或有意义的结论；④产生了新的治疗方法或方式。</w:t>
      </w:r>
    </w:p>
    <w:p>
      <w:pPr>
        <w:pageBreakBefore w:val="0"/>
        <w:kinsoku/>
        <w:wordWrap/>
        <w:overflowPunct/>
        <w:topLinePunct w:val="0"/>
        <w:bidi w:val="0"/>
        <w:snapToGrid/>
        <w:spacing w:line="400" w:lineRule="exact"/>
        <w:ind w:right="0" w:rightChars="0" w:firstLine="480" w:firstLineChars="200"/>
        <w:textAlignment w:val="auto"/>
        <w:rPr>
          <w:rFonts w:ascii="仿宋" w:hAnsi="仿宋" w:eastAsia="仿宋" w:cs="仿宋"/>
          <w:color w:val="000000"/>
          <w:sz w:val="24"/>
          <w:szCs w:val="24"/>
        </w:rPr>
      </w:pPr>
    </w:p>
    <w:p>
      <w:pPr>
        <w:pageBreakBefore w:val="0"/>
        <w:kinsoku/>
        <w:wordWrap/>
        <w:overflowPunct/>
        <w:topLinePunct w:val="0"/>
        <w:bidi w:val="0"/>
        <w:snapToGrid/>
        <w:spacing w:line="400" w:lineRule="exact"/>
        <w:ind w:right="0" w:rightChars="0"/>
        <w:textAlignment w:val="auto"/>
        <w:rPr>
          <w:sz w:val="24"/>
          <w:szCs w:val="24"/>
        </w:rPr>
      </w:pPr>
    </w:p>
    <w:p>
      <w:pPr>
        <w:pageBreakBefore w:val="0"/>
        <w:kinsoku/>
        <w:wordWrap/>
        <w:overflowPunct/>
        <w:topLinePunct w:val="0"/>
        <w:bidi w:val="0"/>
        <w:snapToGrid/>
        <w:spacing w:line="400" w:lineRule="exact"/>
        <w:ind w:right="0" w:rightChars="0" w:firstLine="470" w:firstLineChars="196"/>
        <w:jc w:val="center"/>
        <w:textAlignment w:val="auto"/>
        <w:rPr>
          <w:rFonts w:ascii="宋体" w:hAnsi="宋体" w:cs="宋体"/>
          <w:sz w:val="24"/>
          <w:szCs w:val="24"/>
        </w:rPr>
      </w:pPr>
      <w:bookmarkStart w:id="43" w:name="_GoBack"/>
      <w:bookmarkEnd w:id="43"/>
    </w:p>
    <w:p>
      <w:pPr>
        <w:pageBreakBefore w:val="0"/>
        <w:kinsoku/>
        <w:wordWrap/>
        <w:overflowPunct/>
        <w:topLinePunct w:val="0"/>
        <w:bidi w:val="0"/>
        <w:snapToGrid/>
        <w:spacing w:line="400" w:lineRule="exact"/>
        <w:ind w:right="0" w:rightChars="0"/>
        <w:textAlignment w:val="auto"/>
        <w:rPr>
          <w:rFonts w:ascii="宋体" w:hAnsi="宋体" w:cs="宋体"/>
          <w:sz w:val="24"/>
          <w:szCs w:val="24"/>
        </w:rPr>
      </w:pPr>
    </w:p>
    <w:p>
      <w:pPr>
        <w:pageBreakBefore w:val="0"/>
        <w:kinsoku/>
        <w:wordWrap/>
        <w:overflowPunct/>
        <w:topLinePunct w:val="0"/>
        <w:bidi w:val="0"/>
        <w:snapToGrid/>
        <w:spacing w:line="400" w:lineRule="exact"/>
        <w:ind w:right="0" w:rightChars="0" w:firstLine="480" w:firstLineChars="200"/>
        <w:textAlignment w:val="auto"/>
        <w:rPr>
          <w:rFonts w:ascii="宋体" w:hAnsi="宋体" w:cs="宋体"/>
          <w:sz w:val="24"/>
          <w:szCs w:val="24"/>
        </w:rPr>
      </w:pPr>
    </w:p>
    <w:p>
      <w:pPr>
        <w:pageBreakBefore w:val="0"/>
        <w:kinsoku/>
        <w:wordWrap/>
        <w:overflowPunct/>
        <w:topLinePunct w:val="0"/>
        <w:bidi w:val="0"/>
        <w:snapToGrid/>
        <w:spacing w:line="400" w:lineRule="exact"/>
        <w:ind w:right="0" w:rightChars="0"/>
        <w:jc w:val="right"/>
        <w:textAlignment w:val="auto"/>
        <w:rPr>
          <w:rFonts w:ascii="仿宋" w:hAnsi="仿宋" w:eastAsia="仿宋" w:cs="仿宋"/>
          <w:sz w:val="24"/>
          <w:szCs w:val="24"/>
        </w:rPr>
      </w:pPr>
      <w:r>
        <w:rPr>
          <w:rFonts w:hint="eastAsia" w:ascii="仿宋" w:hAnsi="仿宋" w:eastAsia="仿宋" w:cs="仿宋"/>
          <w:sz w:val="24"/>
          <w:szCs w:val="24"/>
        </w:rPr>
        <w:t>《急性心肌梗死中医临床诊疗指南》工作组</w:t>
      </w:r>
    </w:p>
    <w:p>
      <w:pPr>
        <w:pageBreakBefore w:val="0"/>
        <w:kinsoku/>
        <w:wordWrap/>
        <w:overflowPunct/>
        <w:topLinePunct w:val="0"/>
        <w:bidi w:val="0"/>
        <w:snapToGrid/>
        <w:spacing w:line="400" w:lineRule="exact"/>
        <w:ind w:right="0" w:rightChars="0"/>
        <w:jc w:val="right"/>
        <w:textAlignment w:val="auto"/>
        <w:rPr>
          <w:rFonts w:ascii="仿宋" w:hAnsi="仿宋" w:eastAsia="仿宋" w:cs="仿宋"/>
          <w:sz w:val="24"/>
          <w:szCs w:val="24"/>
        </w:rPr>
      </w:pPr>
      <w:r>
        <w:rPr>
          <w:rFonts w:hint="eastAsia" w:ascii="仿宋" w:hAnsi="仿宋" w:eastAsia="仿宋" w:cs="仿宋"/>
          <w:sz w:val="24"/>
          <w:szCs w:val="24"/>
        </w:rPr>
        <w:t>2017年</w:t>
      </w:r>
      <w:r>
        <w:rPr>
          <w:rFonts w:hint="eastAsia" w:ascii="仿宋" w:hAnsi="仿宋" w:eastAsia="仿宋" w:cs="仿宋"/>
          <w:sz w:val="24"/>
          <w:szCs w:val="24"/>
          <w:lang w:val="en-US" w:eastAsia="zh-CN"/>
        </w:rPr>
        <w:t>12</w:t>
      </w:r>
      <w:r>
        <w:rPr>
          <w:rFonts w:hint="eastAsia" w:ascii="仿宋" w:hAnsi="仿宋" w:eastAsia="仿宋" w:cs="仿宋"/>
          <w:sz w:val="24"/>
          <w:szCs w:val="24"/>
        </w:rPr>
        <w:t>月</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p>
    <w:p>
      <w:pPr>
        <w:pageBreakBefore w:val="0"/>
        <w:kinsoku/>
        <w:wordWrap/>
        <w:overflowPunct/>
        <w:topLinePunct w:val="0"/>
        <w:bidi w:val="0"/>
        <w:snapToGrid/>
        <w:spacing w:line="400" w:lineRule="exact"/>
        <w:ind w:left="2854" w:right="0" w:rightChars="0" w:hanging="1556" w:hangingChars="646"/>
        <w:jc w:val="center"/>
        <w:textAlignment w:val="auto"/>
        <w:rPr>
          <w:rFonts w:ascii="黑体" w:hAnsi="黑体" w:eastAsia="黑体" w:cs="黑体"/>
          <w:b/>
          <w:sz w:val="24"/>
          <w:szCs w:val="24"/>
        </w:rPr>
      </w:pPr>
    </w:p>
    <w:p>
      <w:pPr>
        <w:pageBreakBefore w:val="0"/>
        <w:widowControl/>
        <w:kinsoku/>
        <w:wordWrap/>
        <w:overflowPunct/>
        <w:topLinePunct w:val="0"/>
        <w:bidi w:val="0"/>
        <w:snapToGrid/>
        <w:spacing w:line="400" w:lineRule="exact"/>
        <w:ind w:right="0" w:rightChars="0"/>
        <w:jc w:val="left"/>
        <w:textAlignment w:val="auto"/>
        <w:rPr>
          <w:rFonts w:ascii="黑体" w:hAnsi="黑体" w:eastAsia="黑体" w:cs="黑体"/>
          <w:b/>
          <w:bCs/>
          <w:kern w:val="44"/>
          <w:sz w:val="24"/>
          <w:szCs w:val="24"/>
        </w:rPr>
      </w:pPr>
      <w:bookmarkStart w:id="27" w:name="_Toc498282960"/>
      <w:bookmarkStart w:id="28" w:name="_Toc14216"/>
      <w:r>
        <w:rPr>
          <w:rFonts w:ascii="黑体" w:hAnsi="黑体" w:eastAsia="黑体" w:cs="黑体"/>
          <w:bCs/>
          <w:sz w:val="24"/>
          <w:szCs w:val="24"/>
        </w:rPr>
        <w:br w:type="page"/>
      </w:r>
    </w:p>
    <w:p>
      <w:pPr>
        <w:pStyle w:val="2"/>
        <w:pageBreakBefore w:val="0"/>
        <w:kinsoku/>
        <w:wordWrap/>
        <w:overflowPunct/>
        <w:topLinePunct w:val="0"/>
        <w:bidi w:val="0"/>
        <w:snapToGrid/>
        <w:spacing w:before="0" w:after="0" w:line="400" w:lineRule="exact"/>
        <w:ind w:right="0" w:rightChars="0"/>
        <w:jc w:val="center"/>
        <w:textAlignment w:val="auto"/>
        <w:rPr>
          <w:rFonts w:hint="eastAsia" w:ascii="黑体" w:hAnsi="黑体" w:eastAsia="黑体" w:cs="黑体"/>
          <w:bCs/>
          <w:sz w:val="24"/>
          <w:szCs w:val="24"/>
        </w:rPr>
      </w:pPr>
      <w:r>
        <w:rPr>
          <w:rFonts w:hint="eastAsia" w:ascii="黑体" w:hAnsi="黑体" w:eastAsia="黑体" w:cs="黑体"/>
          <w:bCs/>
          <w:sz w:val="24"/>
          <w:szCs w:val="24"/>
        </w:rPr>
        <w:t>附件</w:t>
      </w:r>
      <w:bookmarkEnd w:id="27"/>
    </w:p>
    <w:p/>
    <w:bookmarkEnd w:id="28"/>
    <w:p>
      <w:pPr>
        <w:keepNext/>
        <w:keepLines/>
        <w:pageBreakBefore w:val="0"/>
        <w:kinsoku/>
        <w:wordWrap/>
        <w:overflowPunct/>
        <w:topLinePunct w:val="0"/>
        <w:bidi w:val="0"/>
        <w:snapToGrid/>
        <w:spacing w:line="400" w:lineRule="exact"/>
        <w:ind w:right="0" w:rightChars="0"/>
        <w:textAlignment w:val="auto"/>
        <w:outlineLvl w:val="1"/>
        <w:rPr>
          <w:rFonts w:ascii="仿宋" w:hAnsi="仿宋" w:eastAsia="仿宋" w:cs="仿宋"/>
          <w:b/>
          <w:bCs/>
          <w:color w:val="000000"/>
          <w:sz w:val="24"/>
          <w:szCs w:val="24"/>
        </w:rPr>
      </w:pPr>
      <w:bookmarkStart w:id="29" w:name="_Toc25064"/>
      <w:bookmarkStart w:id="30" w:name="_Toc498282961"/>
      <w:r>
        <w:rPr>
          <w:rFonts w:hint="eastAsia" w:ascii="仿宋" w:hAnsi="仿宋" w:eastAsia="仿宋" w:cs="仿宋"/>
          <w:b/>
          <w:sz w:val="24"/>
          <w:szCs w:val="24"/>
        </w:rPr>
        <w:t>附件1：调查问卷报告</w:t>
      </w:r>
      <w:bookmarkEnd w:id="29"/>
      <w:bookmarkEnd w:id="30"/>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rPr>
      </w:pP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由于“急性心肌梗死”是近年来的现代医学命名，因此确定合适的检索词成为获取相关文献的关键。故于2015年3月，工作组针对急性心肌梗死的文献检索词进行了专家问卷调查，明确了中文、英文及古代文献检索词。</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中文检索词：急性心肌梗死、急性心肌梗塞、急性冠脉综合征、非ST段抬高心肌梗死、ST段抬高心肌梗死；中医、中西医、证候、辨证论治、辨证施治、中药、草药、中成药、方剂、滴丸、胶囊、片剂、注射液、针灸、穴位、艾灸、理疗、推拿、按摩。</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英文检索词：</w:t>
      </w:r>
      <w:r>
        <w:rPr>
          <w:rFonts w:ascii="仿宋" w:hAnsi="仿宋" w:eastAsia="仿宋" w:cs="仿宋"/>
          <w:color w:val="000000"/>
          <w:sz w:val="24"/>
          <w:szCs w:val="24"/>
        </w:rPr>
        <w:t>Myocardial Infarction, Acute Coronary Syndrome</w:t>
      </w:r>
      <w:r>
        <w:rPr>
          <w:rFonts w:hint="eastAsia" w:ascii="仿宋" w:hAnsi="仿宋" w:eastAsia="仿宋" w:cs="仿宋"/>
          <w:color w:val="000000"/>
          <w:sz w:val="24"/>
          <w:szCs w:val="24"/>
        </w:rPr>
        <w:t>；</w:t>
      </w:r>
      <w:r>
        <w:rPr>
          <w:rFonts w:ascii="仿宋" w:hAnsi="仿宋" w:eastAsia="仿宋" w:cs="仿宋"/>
          <w:color w:val="000000"/>
          <w:sz w:val="24"/>
          <w:szCs w:val="24"/>
        </w:rPr>
        <w:t>Traditional Chinese Medicine, Traditional Chinese Drugs, Traditional Chinese medicine and Western medicine, Chinese Herbal, Syndrome, Syndrome differentiation, Chinese Patent Medicine, Decoction, Droppill/Dropping pill, Capsule, Injection, Acupuncture, Acupuncture Point/Acupoint, Massage, Moxibustion, physical therapy</w:t>
      </w:r>
      <w:r>
        <w:rPr>
          <w:rFonts w:hint="eastAsia" w:ascii="仿宋" w:hAnsi="仿宋" w:eastAsia="仿宋" w:cs="仿宋"/>
          <w:color w:val="000000"/>
          <w:sz w:val="24"/>
          <w:szCs w:val="24"/>
        </w:rPr>
        <w:t>。</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中华医典：真心痛、猝心痛、卒心痛、厥心痛、胸痛、心痛、久心痛、心痹、胸痹。</w:t>
      </w:r>
    </w:p>
    <w:p>
      <w:pPr>
        <w:keepNext/>
        <w:keepLines/>
        <w:pageBreakBefore w:val="0"/>
        <w:kinsoku/>
        <w:wordWrap/>
        <w:overflowPunct/>
        <w:topLinePunct w:val="0"/>
        <w:bidi w:val="0"/>
        <w:snapToGrid/>
        <w:spacing w:line="400" w:lineRule="exact"/>
        <w:ind w:right="0" w:rightChars="0"/>
        <w:textAlignment w:val="auto"/>
        <w:outlineLvl w:val="1"/>
        <w:rPr>
          <w:rFonts w:ascii="仿宋" w:hAnsi="仿宋" w:eastAsia="仿宋" w:cs="仿宋"/>
          <w:b/>
          <w:sz w:val="24"/>
          <w:szCs w:val="24"/>
        </w:rPr>
        <w:sectPr>
          <w:footerReference r:id="rId5" w:type="firs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720" w:num="1"/>
          <w:titlePg/>
          <w:docGrid w:type="lines" w:linePitch="312" w:charSpace="0"/>
        </w:sectPr>
      </w:pPr>
    </w:p>
    <w:p>
      <w:pPr>
        <w:keepNext/>
        <w:keepLines/>
        <w:pageBreakBefore w:val="0"/>
        <w:kinsoku/>
        <w:wordWrap/>
        <w:overflowPunct/>
        <w:topLinePunct w:val="0"/>
        <w:bidi w:val="0"/>
        <w:snapToGrid/>
        <w:spacing w:line="400" w:lineRule="exact"/>
        <w:ind w:right="0" w:rightChars="0"/>
        <w:textAlignment w:val="auto"/>
        <w:outlineLvl w:val="1"/>
        <w:rPr>
          <w:rFonts w:ascii="仿宋" w:hAnsi="仿宋" w:eastAsia="仿宋" w:cs="仿宋"/>
          <w:b/>
          <w:sz w:val="24"/>
          <w:szCs w:val="24"/>
        </w:rPr>
      </w:pPr>
      <w:bookmarkStart w:id="31" w:name="_Toc498282962"/>
      <w:bookmarkStart w:id="32" w:name="_Toc22443"/>
      <w:r>
        <w:rPr>
          <w:rFonts w:hint="eastAsia" w:ascii="仿宋" w:hAnsi="仿宋" w:eastAsia="仿宋" w:cs="仿宋"/>
          <w:b/>
          <w:sz w:val="24"/>
          <w:szCs w:val="24"/>
        </w:rPr>
        <w:t>附件2：指南初稿论证会会议纪要</w:t>
      </w:r>
      <w:bookmarkEnd w:id="31"/>
      <w:bookmarkEnd w:id="32"/>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rPr>
      </w:pP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会议时间：2015年11月25日</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会议地点：广州</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主持人：张敏州</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参会人员：王肖龙、邓悦、邓旻、卢传坚、卢云、李文杰、刘红旭、安冬青、杨海玉、蒋琼芬、潘着锌、戴小华、王大伟、张文青、丁邦晗、刘少南、郭新峰、李慧、王忠良、唐光华、郭力恒、王磊、刘强、刘云涛等</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主要内容：</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一、张敏州教授介绍与会专家</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二、张敏州教授介绍急性心肌梗死中医临床诊疗指南制定背景和前期取得成果</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三、卢传坚教授对本项目及本次会议表示肯定：标准化、循证证据等工作基础是指南编写的基础</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四、丁邦晗教授介绍指南初稿修订讨论稿编写过程</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五、刘少南教授介绍循证医学证据收集流程及评价方法标准</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六、张敏州教授主持讨论</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主要就急性心肌梗死诊断、鉴别诊断情况；辨证论治情况，证据强度，药物治疗及推荐意见等。</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戴小华教授（安徽中医药大学第一附属医院）：1.建议鉴别诊断增加：重症心肌炎、病毒性心肌炎。鉴于真实临床中，年轻的重症心肌炎患者也可表现出急性心肌梗死的症状，如心电图ST段类似于弓背上台、或需要进行急诊PCI术进行治疗；冠脉造影未见冠脉狭窄。2.并发症中心力衰竭（心肌重构、心功能不全）等方面，建议加入芪参益气滴丸，临床上有部分高质量研究证据表明芪参益气滴丸可以用于急性心肌梗死后心功能不全，也可以作为AMI后二级预防。心衰合并心律失常也是AMI后临床常见的并发症，药物治疗有参松养心胶囊。</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刘红旭（首都医科大学附属北京中医医院）：1证据级别建议使用ABCD，附加说明证据级别的研究，可以在中成药使用级别中避免不良的心理暗示。2单一证型（证候证素），不作为治疗证候，可列于诊断层面，用于识别证候主体方向，既可以抓住证型方向，又可以临床上灵活组合，恰当治疗。3对于干预管理和推荐，建议去除“当前暂无。。。。。。。替代治疗”句子，遵循现有有证据治疗即可，互补。4.预防：请想详细说明预防分级。不采取一般预防和综合预防。5并发症方面建议改成对并发症有益的中成药有哪些。 6.中成药建议多详述作用点及使用方式。</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林谦（北京中医药大学东方医院）：不适用单证型，而改为7个证候要素（作为辨证基础）和4个基本证型，而非复合证型作为主要推荐。去掉不能满足时。。。。。那句话。</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王忠良（徐州市中医院）：建议：1.11页，5.5冠脉CT爱？；2.14页3.1加上“行冠脉造影可见于此”；3、3.2主动脉夹层中建议将X线表现改成螺旋CT扫描结果更能准确进行疾病鉴别；4、3.3诊断标准建议添加D-二聚体和肺动脉血管造影；鉴别诊断增加重症心肌炎  复合证型 5、2.2.1.1建议出处写全名；添加其他临床常用活血化瘀常用注射液（试验研究少）等等；6、心律失常要分快慢及加上心宝丸。</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安冬青（新疆医科大学附属中医医院）：1.冠脉造影术还要关注冠脉微循环表现，介入后再狭窄问题，添加上中医药对微循环障碍的改善和成果性贡献更能有说服力；2.肌钙蛋白为心肌损伤标志物，不是AMI标志物；心肌标志物与老年心功能密切相关，有敏感性，但特异性不强，且不能只叙述肌红蛋白；3.中成药干预：珍菊降压-高血压；</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邓悦（长春中医药大学附属医院）：中医证候建议不用单证型，因为临床少见，可改成证素作为诊断依据，临床结合证素组合证候；复合证型中要注意血瘀证。并发症建议添加心源性休克；并发症防治，正虚阳脱（心源性休克）型应该作为变证，而不是并发症；并发症叙述慢性心律失常。证据级别和评价分级建议ABCD的。</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刘强（广州中医药大学第一附属医院心血管科）：不建议单复并用。基本证型建议进一步商榷是否保留。综合预防建议更加全面些，如加入低血糖。参芪益气胶囊放在血小板不符合。方药使用：药物煎服用法不符合临床，建议详细做法。</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卢云（成都中医院）：建议增加危急重症院前抢救，如心源性休克合并快速性心率失常时候中医药怎抢救，建议作为紧急并发症处理；胸痛药物选择和介绍应该详细说明列举；中成药辨证分型，体现中医指南指导作用。</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邓旻（杭州市红十字会医院（副院长））：正虚阳脱是重症变证，更应紧急抢救。推荐药物建议详细说明使用人群。建议增加证型：生活饮食不节的年轻人，过于劳累和失调节会出现热结血瘀证型。证据级别的使用建议改变方式。</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潘朝锌（广西中医药大学第一附属医院）：AMI治疗的重点是血运重建，但是当各种原因导致患者不能进行PCI时，中医药是如何体现血运重现效果的证据，如心脏功能改善、心室重构逆转等，建议增加；在AMI治疗时，中药（中成药）的作用是主要能替代、还是辅助联合、还是预防症状，都有必要详细说明，才能增加指导作用；</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杨海玉（江门市五邑中医院）：针对介入治疗后再狭窄：资料过于陈旧，未能够客观反映现状。</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李文杰（辽宁中医药大学第一附属医院）：诊断标准方面：使用冠脉造影，心脏超声在AMI是否合适。一般预防中，应加入低血糖反映。另外，中成药的不良反应应该列出。单证型临床少见，复合证型中应尽量全面。</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丁邦晗：AMI的前24小时和治疗过程中用药中成药都有使用上升的趋势，但中成药不能替代西药，是否能部分替代西药亦没有太多的证据显示，中医临床路径也有很多的阻挠，需要更多的坚持。所以本指南的攥写希望引起更多同行的呼声与修正，更好的体现中医指南的实用性。</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王磊（广东省中医院重症医学科）：中医诊疗指南，应强调中医特色设篇幅叙述心梗的二级预防，且在AMI康复方面我们更有证据说话，有很多证据表明中医药的证据质量。</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郭新峰教授（广东省中医院研究员）：就方法学方面发表了意见：证据推荐级用GRADE证据评价与推荐体系，其评价方法和推荐的条件都要比常用的ABCD证据质量法要全面和慎重很多，很快的得到了世界同行认可；对以后更新指南有更好的促进和指导作用。</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王忠良（徐州市中医院）：中医药治疗心梗体现在很多方面，如心梗并发低血压时，并心律失常时，针对西药治疗的矛盾都是我们好好发挥的介入点；另外，心力衰竭、心律失常都属于AMI本病症所在，不属于并发症，请指南组进行词语更正。</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刘少南教授（广东省中医院）ABCD证据质量法是2015年广泛推崇的质量评价法，针对于没有实行RCT的研究，在临床试验观察中进行评价也会有很高的评价级别和推荐级别。也适用于临床经验性总结。</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七、主持人作总结发言</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1.中医中药发展需要循证，用ABCD证据质量法更全面正确，有说服力。且受到多方协会支持。</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2.辨证：用7证素来把握辨证方向，四个基本证型为主要常见证型；正虚阳脱型的归类还带商榷。瘀毒、热结血瘀证型是否放入基本证型大家继续集思广益。</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3.芪参益气滴丸虽然证据结果表明等效阿司匹林，但完全不能替代阿司匹林（抗凝抗血小板、预防心肌梗死风险），但当患者不能使用阿司匹林时，可以采取使用参芪益气滴丸。</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4.AMI后二级预防，对患者预后起着重要的作用，体现中医的优势所在；当循证证据不足时，可根据临床经验来继续编写，；微循环障碍时，中医药发展的空间极大，应继续完善指南编写；</w:t>
      </w: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color w:val="000000"/>
          <w:sz w:val="24"/>
          <w:szCs w:val="24"/>
        </w:rPr>
      </w:pPr>
      <w:r>
        <w:rPr>
          <w:rFonts w:hint="eastAsia" w:ascii="仿宋" w:hAnsi="仿宋" w:eastAsia="仿宋" w:cs="仿宋"/>
          <w:color w:val="000000"/>
          <w:sz w:val="24"/>
          <w:szCs w:val="24"/>
        </w:rPr>
        <w:t>八、合影留念</w:t>
      </w:r>
    </w:p>
    <w:p>
      <w:pPr>
        <w:pageBreakBefore w:val="0"/>
        <w:kinsoku/>
        <w:wordWrap/>
        <w:overflowPunct/>
        <w:topLinePunct w:val="0"/>
        <w:bidi w:val="0"/>
        <w:snapToGrid/>
        <w:spacing w:line="400" w:lineRule="exact"/>
        <w:ind w:right="0" w:rightChars="0"/>
        <w:textAlignment w:val="auto"/>
        <w:rPr>
          <w:sz w:val="24"/>
          <w:szCs w:val="24"/>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titlePg/>
          <w:docGrid w:type="lines" w:linePitch="312" w:charSpace="0"/>
        </w:sectPr>
      </w:pPr>
    </w:p>
    <w:p>
      <w:pPr>
        <w:keepNext/>
        <w:keepLines/>
        <w:pageBreakBefore w:val="0"/>
        <w:kinsoku/>
        <w:wordWrap/>
        <w:overflowPunct/>
        <w:topLinePunct w:val="0"/>
        <w:bidi w:val="0"/>
        <w:snapToGrid/>
        <w:spacing w:line="400" w:lineRule="exact"/>
        <w:ind w:right="0" w:rightChars="0"/>
        <w:textAlignment w:val="auto"/>
        <w:outlineLvl w:val="1"/>
        <w:rPr>
          <w:rFonts w:ascii="仿宋" w:hAnsi="仿宋" w:eastAsia="仿宋" w:cs="仿宋"/>
          <w:b/>
          <w:bCs/>
          <w:color w:val="000000"/>
          <w:sz w:val="24"/>
          <w:szCs w:val="24"/>
        </w:rPr>
      </w:pPr>
      <w:bookmarkStart w:id="33" w:name="_Toc8811"/>
      <w:bookmarkStart w:id="34" w:name="_Toc498282963"/>
      <w:r>
        <w:rPr>
          <w:rFonts w:hint="eastAsia" w:ascii="仿宋" w:hAnsi="仿宋" w:eastAsia="仿宋" w:cs="仿宋"/>
          <w:b/>
          <w:sz w:val="24"/>
          <w:szCs w:val="24"/>
        </w:rPr>
        <w:t>附件3：同行征求意见反馈总结</w:t>
      </w:r>
      <w:bookmarkEnd w:id="33"/>
      <w:bookmarkEnd w:id="34"/>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rPr>
      </w:pPr>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2015年12月，经专家论证修改后的指南在20个协作单位采用AGREE对该指南进行评价</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发放</w:t>
      </w:r>
      <w:r>
        <w:rPr>
          <w:rFonts w:hint="eastAsia" w:ascii="仿宋" w:hAnsi="仿宋" w:eastAsia="仿宋" w:cs="仿宋"/>
          <w:color w:val="000000"/>
          <w:sz w:val="24"/>
          <w:szCs w:val="24"/>
          <w:lang w:val="en-US" w:eastAsia="zh-CN"/>
        </w:rPr>
        <w:t>评价</w:t>
      </w:r>
      <w:r>
        <w:rPr>
          <w:rFonts w:hint="eastAsia" w:ascii="仿宋" w:hAnsi="仿宋" w:eastAsia="仿宋" w:cs="仿宋"/>
          <w:color w:val="000000"/>
          <w:sz w:val="24"/>
          <w:szCs w:val="24"/>
        </w:rPr>
        <w:t>表20份，回收15份，专家对修改后的指南给予了充分肯定，明确了该指南在指导临床诊疗的实用价值。</w:t>
      </w:r>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具体</w:t>
      </w:r>
      <w:r>
        <w:rPr>
          <w:rFonts w:hint="eastAsia" w:ascii="仿宋" w:hAnsi="仿宋" w:eastAsia="仿宋" w:cs="仿宋"/>
          <w:color w:val="000000"/>
          <w:sz w:val="24"/>
          <w:szCs w:val="24"/>
        </w:rPr>
        <w:t>内容包括：基于证据的陈述是否可接受？证据的收集方式是否合适？证据是否得到充分引用？推荐意见是否来自于证据？推荐意见是否合理？等。评议结果详</w:t>
      </w:r>
      <w:r>
        <w:rPr>
          <w:rFonts w:hint="eastAsia" w:ascii="仿宋" w:hAnsi="仿宋" w:eastAsia="仿宋" w:cs="仿宋"/>
          <w:color w:val="000000"/>
          <w:sz w:val="24"/>
          <w:szCs w:val="24"/>
          <w:lang w:val="en-US" w:eastAsia="zh-CN"/>
        </w:rPr>
        <w:t>如下</w:t>
      </w:r>
      <w:r>
        <w:rPr>
          <w:rFonts w:hint="eastAsia" w:ascii="仿宋" w:hAnsi="仿宋" w:eastAsia="仿宋" w:cs="仿宋"/>
          <w:color w:val="000000"/>
          <w:sz w:val="24"/>
          <w:szCs w:val="24"/>
          <w:lang w:eastAsia="zh-CN"/>
        </w:rPr>
        <w:t>。</w:t>
      </w:r>
    </w:p>
    <w:p>
      <w:pPr>
        <w:pageBreakBefore w:val="0"/>
        <w:kinsoku/>
        <w:wordWrap/>
        <w:overflowPunct/>
        <w:topLinePunct w:val="0"/>
        <w:bidi w:val="0"/>
        <w:snapToGrid/>
        <w:spacing w:line="400" w:lineRule="exact"/>
        <w:ind w:right="0" w:rightChars="0"/>
        <w:jc w:val="left"/>
        <w:textAlignment w:val="auto"/>
        <w:rPr>
          <w:rFonts w:hint="eastAsia" w:ascii="仿宋" w:hAnsi="仿宋" w:eastAsia="仿宋" w:cs="仿宋"/>
          <w:color w:val="000000"/>
          <w:sz w:val="24"/>
          <w:szCs w:val="24"/>
          <w:lang w:eastAsia="zh-CN"/>
        </w:rPr>
      </w:pPr>
    </w:p>
    <w:p>
      <w:pPr>
        <w:pageBreakBefore w:val="0"/>
        <w:kinsoku/>
        <w:wordWrap/>
        <w:overflowPunct/>
        <w:topLinePunct w:val="0"/>
        <w:bidi w:val="0"/>
        <w:snapToGrid/>
        <w:spacing w:line="400" w:lineRule="exact"/>
        <w:ind w:right="0" w:rightChars="0"/>
        <w:jc w:val="left"/>
        <w:textAlignment w:val="auto"/>
        <w:rPr>
          <w:rFonts w:hint="eastAsia" w:ascii="仿宋" w:hAnsi="仿宋" w:eastAsia="仿宋" w:cs="仿宋"/>
          <w:color w:val="000000"/>
          <w:sz w:val="24"/>
          <w:szCs w:val="24"/>
          <w:lang w:eastAsia="zh-CN"/>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titlePg/>
          <w:docGrid w:type="lines" w:linePitch="312" w:charSpace="0"/>
        </w:sectPr>
      </w:pPr>
    </w:p>
    <w:p>
      <w:pPr>
        <w:overflowPunct/>
        <w:autoSpaceDE/>
        <w:autoSpaceDN/>
        <w:adjustRightInd/>
        <w:spacing w:line="36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AGREE评议结果</w:t>
      </w:r>
    </w:p>
    <w:tbl>
      <w:tblPr>
        <w:tblStyle w:val="11"/>
        <w:tblW w:w="14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0"/>
        <w:gridCol w:w="7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40" w:type="dxa"/>
            <w:vAlign w:val="top"/>
          </w:tcPr>
          <w:p>
            <w:pPr>
              <w:widowControl w:val="0"/>
              <w:spacing w:line="360" w:lineRule="auto"/>
              <w:jc w:val="center"/>
              <w:rPr>
                <w:rFonts w:hint="eastAsia" w:ascii="仿宋" w:hAnsi="仿宋" w:eastAsia="仿宋" w:cs="仿宋"/>
                <w:b/>
                <w:bCs/>
                <w:sz w:val="21"/>
                <w:szCs w:val="21"/>
              </w:rPr>
            </w:pPr>
            <w:r>
              <w:rPr>
                <w:rFonts w:hint="eastAsia" w:ascii="仿宋" w:hAnsi="仿宋" w:eastAsia="仿宋" w:cs="仿宋"/>
                <w:b/>
                <w:bCs/>
                <w:sz w:val="21"/>
                <w:szCs w:val="21"/>
              </w:rPr>
              <w:t>条目</w:t>
            </w:r>
          </w:p>
        </w:tc>
        <w:tc>
          <w:tcPr>
            <w:tcW w:w="7980" w:type="dxa"/>
            <w:vAlign w:val="top"/>
          </w:tcPr>
          <w:p>
            <w:pPr>
              <w:widowControl w:val="0"/>
              <w:spacing w:line="360" w:lineRule="auto"/>
              <w:jc w:val="center"/>
              <w:rPr>
                <w:rFonts w:hint="eastAsia" w:ascii="仿宋" w:hAnsi="仿宋" w:eastAsia="仿宋" w:cs="仿宋"/>
                <w:b/>
                <w:bCs/>
                <w:sz w:val="21"/>
                <w:szCs w:val="21"/>
              </w:rPr>
            </w:pPr>
            <w:r>
              <w:rPr>
                <w:rFonts w:hint="eastAsia" w:ascii="仿宋" w:hAnsi="仿宋" w:eastAsia="仿宋" w:cs="仿宋"/>
                <w:b/>
                <w:bCs/>
                <w:sz w:val="21"/>
                <w:szCs w:val="21"/>
              </w:rPr>
              <w:t>评议结果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4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条目1：明确指南总目的（社会、患病人群及个人潜在健康影响，并落实到具体临床问题或健康主题）</w:t>
            </w:r>
          </w:p>
          <w:p>
            <w:pPr>
              <w:widowControl w:val="0"/>
              <w:spacing w:line="360" w:lineRule="auto"/>
              <w:jc w:val="both"/>
              <w:rPr>
                <w:rFonts w:hint="eastAsia" w:ascii="仿宋" w:hAnsi="仿宋" w:eastAsia="仿宋" w:cs="仿宋"/>
                <w:sz w:val="21"/>
                <w:szCs w:val="21"/>
              </w:rPr>
            </w:pPr>
          </w:p>
        </w:tc>
        <w:tc>
          <w:tcPr>
            <w:tcW w:w="798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本指南的修订在正文中未见阐述总目的，但在背景中有提及急性心肌梗死的近年重要进展和重视程度，同时也提及本指南主要是规范中医药防治急性心肌梗死及其并发症。建议给5分。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4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color w:val="000000"/>
                <w:sz w:val="21"/>
                <w:szCs w:val="21"/>
              </w:rPr>
              <w:t>条目2：明确阐述指南所涵盖的卫生问题（特别是主要的推荐意见，包括人群、干预或暴露、结局指标和卫生保健背景）</w:t>
            </w:r>
          </w:p>
        </w:tc>
        <w:tc>
          <w:tcPr>
            <w:tcW w:w="798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本指南推荐的以中医药为主要内容的预防、诊断和治疗建议并不能完全替代现代医学治疗方法。建议给分4-6分。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4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color w:val="000000"/>
                <w:sz w:val="21"/>
                <w:szCs w:val="21"/>
              </w:rPr>
              <w:t>条目3：应用人群包含人群年龄、性别、临床症状和并发症，明确的排除人群也加以说明。</w:t>
            </w:r>
          </w:p>
        </w:tc>
        <w:tc>
          <w:tcPr>
            <w:tcW w:w="798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本指南适用于18周岁以上人群，但儿童、妊娠及产褥期妇女、有严重器官功能不全的患者在应用本指南治疗时需要进一步审慎评估。6分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4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color w:val="000000"/>
                <w:sz w:val="21"/>
                <w:szCs w:val="21"/>
              </w:rPr>
              <w:t>条目4：指南制定组包含所有相关专业人员（指导小组、筛选和评估证据研究组、参与形成修改推荐意见的人员等），不包括参与指南外审人员及指南的目标人群。指南应列出他们的姓名、研究领域、所在单位和在指南制定小组中的职务。</w:t>
            </w:r>
          </w:p>
        </w:tc>
        <w:tc>
          <w:tcPr>
            <w:tcW w:w="798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color w:val="000000"/>
                <w:sz w:val="21"/>
                <w:szCs w:val="21"/>
              </w:rPr>
              <w:t>指南前言中有指出指南起草人，专业未明确指出参与专家的职务、单位地址，前期中有相关专业人员：指导小组、文献筛选和评估证据小组、参与形成修改推荐意见的人员等，但文中未提及，建议4分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4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color w:val="000000"/>
                <w:sz w:val="21"/>
                <w:szCs w:val="21"/>
              </w:rPr>
              <w:t>条目5：考虑到目标人群（患者、公众等）的观点和选择 制定者可通过问卷调查、文献综述等方法获取目标人群的观点和和选择，或者让他们参与到指南制定中或对草案的外审。指南应详细报告收集这些信息的方法，并记录这些结果是如何影响指南的制定和推荐意见的形成。应当有证据表明这个过程已考虑了患者、公众的观点。</w:t>
            </w:r>
          </w:p>
        </w:tc>
        <w:tc>
          <w:tcPr>
            <w:tcW w:w="798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color w:val="000000"/>
                <w:sz w:val="21"/>
                <w:szCs w:val="21"/>
              </w:rPr>
              <w:t>本指南旨在规范中医药防治AMI和并发症治疗，其目标人群为</w:t>
            </w:r>
            <w:r>
              <w:rPr>
                <w:rFonts w:hint="eastAsia" w:ascii="仿宋" w:hAnsi="仿宋" w:eastAsia="仿宋" w:cs="仿宋"/>
                <w:sz w:val="21"/>
                <w:szCs w:val="21"/>
              </w:rPr>
              <w:t>从事中医、中西医结合工作的临床医师及综合性医院使用。目前</w:t>
            </w:r>
            <w:r>
              <w:rPr>
                <w:rFonts w:hint="eastAsia" w:ascii="仿宋" w:hAnsi="仿宋" w:eastAsia="仿宋" w:cs="仿宋"/>
                <w:color w:val="000000"/>
                <w:sz w:val="21"/>
                <w:szCs w:val="21"/>
              </w:rPr>
              <w:t>暂没有目标人群和患者的参与及观点选择，1分。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4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color w:val="000000"/>
                <w:sz w:val="21"/>
                <w:szCs w:val="21"/>
              </w:rPr>
              <w:t>条目6：指南适用者已经明确规定。</w:t>
            </w:r>
          </w:p>
        </w:tc>
        <w:tc>
          <w:tcPr>
            <w:tcW w:w="798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指南适合从事中医、中西医结合工作的临床医师及综合性医院使用。6分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4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条目7：应用系统方法检索证据 包括搜集证据时完整的检索策略（数据库或其他来源、检索时间和检索词等）检索策略应尽量全面并在实施时规避潜在的偏倚、描述时应尽量细致从而使其具有可重复性。</w:t>
            </w:r>
          </w:p>
        </w:tc>
        <w:tc>
          <w:tcPr>
            <w:tcW w:w="798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指南附录中已明确指出方法和检索过程，包括检索数据库、检索时间、检索关键词等，并结合Cochrane协作网偏倚风险评估工具、</w:t>
            </w:r>
            <w:r>
              <w:rPr>
                <w:rFonts w:hint="eastAsia" w:ascii="仿宋" w:hAnsi="仿宋" w:eastAsia="仿宋" w:cs="仿宋"/>
                <w:color w:val="000000"/>
                <w:sz w:val="21"/>
                <w:szCs w:val="21"/>
              </w:rPr>
              <w:t>GRADE 影响证据级别的因素图表明确指出本检索过程和检索策略的可重复性，7分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4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条目8：明确阐述选择证据标准 检索获得证据的纳入、排除标准 并描述上述标准及使用这些标准的根据。</w:t>
            </w:r>
          </w:p>
        </w:tc>
        <w:tc>
          <w:tcPr>
            <w:tcW w:w="798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本指南从文献类型、疾病诊断</w:t>
            </w:r>
            <w:r>
              <w:rPr>
                <w:rFonts w:hint="eastAsia" w:ascii="仿宋" w:hAnsi="仿宋" w:eastAsia="仿宋" w:cs="仿宋"/>
                <w:sz w:val="21"/>
                <w:szCs w:val="21"/>
                <w:lang w:val="en-US" w:eastAsia="zh-CN"/>
              </w:rPr>
              <w:t>标准</w:t>
            </w:r>
            <w:r>
              <w:rPr>
                <w:rFonts w:hint="eastAsia" w:ascii="仿宋" w:hAnsi="仿宋" w:eastAsia="仿宋" w:cs="仿宋"/>
                <w:sz w:val="21"/>
                <w:szCs w:val="21"/>
              </w:rPr>
              <w:t>、结局指标等方面阐述了文献的纳入标准，从对照组及</w:t>
            </w:r>
            <w:r>
              <w:rPr>
                <w:rFonts w:hint="eastAsia" w:ascii="仿宋" w:hAnsi="仿宋" w:eastAsia="仿宋" w:cs="仿宋"/>
                <w:sz w:val="21"/>
                <w:szCs w:val="21"/>
                <w:lang w:val="en-US" w:eastAsia="zh-CN"/>
              </w:rPr>
              <w:t>试验</w:t>
            </w:r>
            <w:r>
              <w:rPr>
                <w:rFonts w:hint="eastAsia" w:ascii="仿宋" w:hAnsi="仿宋" w:eastAsia="仿宋" w:cs="仿宋"/>
                <w:sz w:val="21"/>
                <w:szCs w:val="21"/>
              </w:rPr>
              <w:t>组的</w:t>
            </w:r>
            <w:r>
              <w:rPr>
                <w:rFonts w:hint="eastAsia" w:ascii="仿宋" w:hAnsi="仿宋" w:eastAsia="仿宋" w:cs="仿宋"/>
                <w:sz w:val="21"/>
                <w:szCs w:val="21"/>
                <w:lang w:val="en-US" w:eastAsia="zh-CN"/>
              </w:rPr>
              <w:t>干预方案</w:t>
            </w:r>
            <w:r>
              <w:rPr>
                <w:rFonts w:hint="eastAsia" w:ascii="仿宋" w:hAnsi="仿宋" w:eastAsia="仿宋" w:cs="仿宋"/>
                <w:sz w:val="21"/>
                <w:szCs w:val="21"/>
              </w:rPr>
              <w:t>等</w:t>
            </w:r>
            <w:r>
              <w:rPr>
                <w:rFonts w:hint="eastAsia" w:ascii="仿宋" w:hAnsi="仿宋" w:eastAsia="仿宋" w:cs="仿宋"/>
                <w:sz w:val="21"/>
                <w:szCs w:val="21"/>
                <w:lang w:val="en-US" w:eastAsia="zh-CN"/>
              </w:rPr>
              <w:t>方面</w:t>
            </w:r>
            <w:r>
              <w:rPr>
                <w:rFonts w:hint="eastAsia" w:ascii="仿宋" w:hAnsi="仿宋" w:eastAsia="仿宋" w:cs="仿宋"/>
                <w:sz w:val="21"/>
                <w:szCs w:val="21"/>
              </w:rPr>
              <w:t>描述</w:t>
            </w:r>
            <w:r>
              <w:rPr>
                <w:rFonts w:hint="eastAsia" w:ascii="仿宋" w:hAnsi="仿宋" w:eastAsia="仿宋" w:cs="仿宋"/>
                <w:sz w:val="21"/>
                <w:szCs w:val="21"/>
                <w:lang w:val="en-US" w:eastAsia="zh-CN"/>
              </w:rPr>
              <w:t>了</w:t>
            </w:r>
            <w:r>
              <w:rPr>
                <w:rFonts w:hint="eastAsia" w:ascii="仿宋" w:hAnsi="仿宋" w:eastAsia="仿宋" w:cs="仿宋"/>
                <w:sz w:val="21"/>
                <w:szCs w:val="21"/>
              </w:rPr>
              <w:t>文献的排除标准。建议得5-6分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4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条目9：清楚地描述证据群的优势和不足，详细说明制定过程中是否使用正规或非正规的工具、方法来评估证据可能存在偏倚的风险：单个研究、基于证据群的评论或特异性结论。</w:t>
            </w:r>
          </w:p>
        </w:tc>
        <w:tc>
          <w:tcPr>
            <w:tcW w:w="798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本指南运用GRADE评价证据群的质量，Cochrane协作网偏倚风险评估工具，后续又详细阐明了影响证据质量升高和降低的因素，建议给6分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4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条目10：明确阐述形成推荐意见的方法 详细介绍制定方法以及做出最终决定的过程，存在争议部分及相应解决方法也应明确指出</w:t>
            </w:r>
          </w:p>
        </w:tc>
        <w:tc>
          <w:tcPr>
            <w:tcW w:w="798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本指南的每一条推荐意见都是</w:t>
            </w:r>
            <w:r>
              <w:rPr>
                <w:rFonts w:hint="eastAsia" w:ascii="仿宋" w:hAnsi="仿宋" w:eastAsia="仿宋" w:cs="仿宋"/>
                <w:sz w:val="21"/>
                <w:szCs w:val="21"/>
                <w:lang w:val="en-US" w:eastAsia="zh-CN"/>
              </w:rPr>
              <w:t>基于对</w:t>
            </w:r>
            <w:r>
              <w:rPr>
                <w:rFonts w:hint="eastAsia" w:ascii="仿宋" w:hAnsi="仿宋" w:eastAsia="仿宋" w:cs="仿宋"/>
                <w:sz w:val="21"/>
                <w:szCs w:val="21"/>
              </w:rPr>
              <w:t>现有文献</w:t>
            </w:r>
            <w:r>
              <w:rPr>
                <w:rFonts w:hint="eastAsia" w:ascii="仿宋" w:hAnsi="仿宋" w:eastAsia="仿宋" w:cs="仿宋"/>
                <w:sz w:val="21"/>
                <w:szCs w:val="21"/>
                <w:lang w:val="en-US" w:eastAsia="zh-CN"/>
              </w:rPr>
              <w:t>的</w:t>
            </w:r>
            <w:r>
              <w:rPr>
                <w:rFonts w:hint="eastAsia" w:ascii="仿宋" w:hAnsi="仿宋" w:eastAsia="仿宋" w:cs="仿宋"/>
                <w:sz w:val="21"/>
                <w:szCs w:val="21"/>
              </w:rPr>
              <w:t>GRADE证据</w:t>
            </w:r>
            <w:r>
              <w:rPr>
                <w:rFonts w:hint="eastAsia" w:ascii="仿宋" w:hAnsi="仿宋" w:eastAsia="仿宋" w:cs="仿宋"/>
                <w:sz w:val="21"/>
                <w:szCs w:val="21"/>
                <w:lang w:val="en-US" w:eastAsia="zh-CN"/>
              </w:rPr>
              <w:t>质量评价</w:t>
            </w:r>
            <w:r>
              <w:rPr>
                <w:rFonts w:hint="eastAsia" w:ascii="仿宋" w:hAnsi="仿宋" w:eastAsia="仿宋" w:cs="仿宋"/>
                <w:sz w:val="21"/>
                <w:szCs w:val="21"/>
              </w:rPr>
              <w:t>及Cochrane协作网偏倚风险评估，</w:t>
            </w:r>
            <w:r>
              <w:rPr>
                <w:rFonts w:hint="eastAsia" w:ascii="仿宋" w:hAnsi="仿宋" w:eastAsia="仿宋" w:cs="仿宋"/>
                <w:sz w:val="21"/>
                <w:szCs w:val="21"/>
                <w:lang w:val="en-US" w:eastAsia="zh-CN"/>
              </w:rPr>
              <w:t>确定</w:t>
            </w:r>
            <w:r>
              <w:rPr>
                <w:rFonts w:hint="eastAsia" w:ascii="仿宋" w:hAnsi="仿宋" w:eastAsia="仿宋" w:cs="仿宋"/>
                <w:sz w:val="21"/>
                <w:szCs w:val="21"/>
              </w:rPr>
              <w:t>强、弱两级</w:t>
            </w:r>
            <w:r>
              <w:rPr>
                <w:rFonts w:hint="eastAsia" w:ascii="仿宋" w:hAnsi="仿宋" w:eastAsia="仿宋" w:cs="仿宋"/>
                <w:sz w:val="21"/>
                <w:szCs w:val="21"/>
                <w:lang w:val="en-US" w:eastAsia="zh-CN"/>
              </w:rPr>
              <w:t>推荐级别的</w:t>
            </w:r>
            <w:r>
              <w:rPr>
                <w:rFonts w:hint="eastAsia" w:ascii="仿宋" w:hAnsi="仿宋" w:eastAsia="仿宋" w:cs="仿宋"/>
                <w:sz w:val="21"/>
                <w:szCs w:val="21"/>
              </w:rPr>
              <w:t>。当出现争议时，也完全采用GRADE影响推荐强度的因素来参照评价。此处建议得分5-6分。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4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条目11：在形成意见时考虑了对健康的效益、副作用以及风险  平衡利弊后给出相应的推荐意见</w:t>
            </w:r>
          </w:p>
        </w:tc>
        <w:tc>
          <w:tcPr>
            <w:tcW w:w="798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指南在形成意见时考虑了对健康的效益通过参考文献明确指出，但对副作用及风险标注较少。此处得分4分。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4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条目12：推荐意见和支持证据之间有明确的联系 每条推荐意见与关键证据的描述和参考文献相联系，以确保指南使用者能将不同的推荐意见对应其支持证据。</w:t>
            </w:r>
          </w:p>
        </w:tc>
        <w:tc>
          <w:tcPr>
            <w:tcW w:w="798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指南正文中</w:t>
            </w:r>
            <w:r>
              <w:rPr>
                <w:rFonts w:hint="eastAsia" w:ascii="仿宋" w:hAnsi="仿宋" w:eastAsia="仿宋" w:cs="仿宋"/>
                <w:sz w:val="21"/>
                <w:szCs w:val="21"/>
                <w:lang w:val="en-US" w:eastAsia="zh-CN"/>
              </w:rPr>
              <w:t>有关</w:t>
            </w:r>
            <w:r>
              <w:rPr>
                <w:rFonts w:hint="eastAsia" w:ascii="仿宋" w:hAnsi="仿宋" w:eastAsia="仿宋" w:cs="仿宋"/>
                <w:sz w:val="21"/>
                <w:szCs w:val="21"/>
              </w:rPr>
              <w:t>防治及并发症治疗都有明确指出每条推荐意见及参考文献出处，体现了与关键证据的描述和参考文献相联系的目的。此处建议得分5-6分。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4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条目13：指南在发表前经过专家的外部评审 审核者可以是相关领域的临床专家和方法学专家以及目标人群（患者、公众等）代表。指南应公开外审过程中采用的方法，列出审核者的名单及信息表。</w:t>
            </w:r>
          </w:p>
        </w:tc>
        <w:tc>
          <w:tcPr>
            <w:tcW w:w="798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指南初稿形成后，通过咨询国内相关中医专家的意见（召开咨询会和问卷调查方式）最终形成指南终稿。咨询专家主要包括对治疗急性心肌梗死的中医临床专家、中西医结合专家、方法学专家、统计学专家和标准化专家等，也指出接下来的试行期间将采取调查问卷形式对本指南的科学性、安全性和临床依从性等方面进行调查，调查对象涵盖了三级甲等医院到基层医院的医务人员（目标人群）给予建议。建议该条目得分5-6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4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条目14：提供指南更新的过程 包括是否被更新、更新方法、更新时间和周期</w:t>
            </w:r>
          </w:p>
        </w:tc>
        <w:tc>
          <w:tcPr>
            <w:tcW w:w="798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该指南未描述更新过程的相关细节。但指出受现有文献研究设计、研究方法、研究质量等因素影响，指南今后需结合新的研究证据不断完善和修正。4分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4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条目15：推荐意见明确不含糊 应阐述推荐意见在什么情况下、对何种患者适用，并指出有无证据支持。具体内容包括：陈述推荐、推荐意见的目的（提高生活质量等）、明确适用人群和适用条件。</w:t>
            </w:r>
          </w:p>
        </w:tc>
        <w:tc>
          <w:tcPr>
            <w:tcW w:w="798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该指南清晰注明推荐意见及其适用人群，且内容明确不含糊，同时表明了证据来源，建议给6-7分。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4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条目16：明确列出针对某一情况或卫生问题不同的选择  疾病管理指南应该考虑到涉及的临床筛查、预防、诊断和治疗存在各种不同的选择，指南应提出这些可能的选择</w:t>
            </w:r>
          </w:p>
        </w:tc>
        <w:tc>
          <w:tcPr>
            <w:tcW w:w="798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指南针对该疾病的预防、诊断和治疗建议根据现有文献研究和证据等级提供相应的建议</w:t>
            </w:r>
            <w:r>
              <w:rPr>
                <w:rFonts w:hint="eastAsia" w:ascii="仿宋" w:hAnsi="仿宋" w:eastAsia="仿宋" w:cs="仿宋"/>
                <w:sz w:val="21"/>
                <w:szCs w:val="21"/>
                <w:lang w:eastAsia="zh-CN"/>
              </w:rPr>
              <w:t>，</w:t>
            </w:r>
            <w:r>
              <w:rPr>
                <w:rFonts w:hint="eastAsia" w:ascii="仿宋" w:hAnsi="仿宋" w:eastAsia="仿宋" w:cs="仿宋"/>
                <w:sz w:val="21"/>
                <w:szCs w:val="21"/>
              </w:rPr>
              <w:t>供目标医务人员选择。建议4-5分。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4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条目17：主要推荐意见清晰易辨 为便于读者查找，指南应对所有的推荐意见突出显示、分类汇总。如采用表格、流程图、加粗或下划线等方式。</w:t>
            </w:r>
          </w:p>
        </w:tc>
        <w:tc>
          <w:tcPr>
            <w:tcW w:w="798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指南虽然在诸多项目中给出推荐和证据等级，但都是可供选择和开放性启示，并未展现出清晰易辨的目的性。此项建议给4-5分。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4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条目18：指南中描述了应用过程中的促进和阻碍因素</w:t>
            </w:r>
          </w:p>
          <w:p>
            <w:pPr>
              <w:widowControl w:val="0"/>
              <w:spacing w:line="360" w:lineRule="auto"/>
              <w:jc w:val="both"/>
              <w:rPr>
                <w:rFonts w:hint="eastAsia" w:ascii="仿宋" w:hAnsi="仿宋" w:eastAsia="仿宋" w:cs="仿宋"/>
                <w:sz w:val="21"/>
                <w:szCs w:val="21"/>
              </w:rPr>
            </w:pPr>
          </w:p>
        </w:tc>
        <w:tc>
          <w:tcPr>
            <w:tcW w:w="798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指南中指出阻碍因素为现代化再灌注治疗虽可挽救心肌带来希望，但仍然存在诸多并发症的巨大风险；同时也指出中医药在相关方面治疗存在着更多潜在的希望和机会，并均给出文献证据支持。同时也指出受现有文献研究设计、研究方法、研究质量等因素影响，指南今后需结合新的研究证据不断完善和修正。建议该项条目给分6-7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4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条目19：指南提供了推荐意见和如何应用于实践的建议和配套工具 如总结文件、快速参考指南、培训工具、预实验结果、患者书面说明和计算机辅助等等。</w:t>
            </w:r>
          </w:p>
        </w:tc>
        <w:tc>
          <w:tcPr>
            <w:tcW w:w="798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该指南针对每一证型及后续的预防、并发症治疗都给出相应参考文献及循证医学证据。建议该条目5-6分。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4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条目20：指南考虑用用推荐建议时潜在的资源投入问题  如更多的专业人员、新的设备、和昂贵的治疗药物，这些都能增加卫生保健的预算。应指出对资源投入的潜在影响。</w:t>
            </w:r>
          </w:p>
        </w:tc>
        <w:tc>
          <w:tcPr>
            <w:tcW w:w="798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该指南未描述关于资源投入的信息，但是总结近年来研究显示，中医对改善介入</w:t>
            </w:r>
            <w:r>
              <w:rPr>
                <w:rFonts w:hint="eastAsia" w:ascii="仿宋" w:hAnsi="仿宋" w:eastAsia="仿宋" w:cs="仿宋"/>
                <w:sz w:val="21"/>
                <w:szCs w:val="21"/>
                <w:lang w:val="en-US" w:eastAsia="zh-CN"/>
              </w:rPr>
              <w:t>治疗</w:t>
            </w:r>
            <w:r>
              <w:rPr>
                <w:rFonts w:hint="eastAsia" w:ascii="仿宋" w:hAnsi="仿宋" w:eastAsia="仿宋" w:cs="仿宋"/>
                <w:sz w:val="21"/>
                <w:szCs w:val="21"/>
              </w:rPr>
              <w:t>后并发症有其独特的优势，后再灌注时代冠脉介入并发症防治为中医药事业的发展提供了新的挑战和机遇，这</w:t>
            </w:r>
            <w:r>
              <w:rPr>
                <w:rFonts w:hint="eastAsia" w:ascii="仿宋" w:hAnsi="仿宋" w:eastAsia="仿宋" w:cs="仿宋"/>
                <w:sz w:val="21"/>
                <w:szCs w:val="21"/>
                <w:lang w:val="en-US" w:eastAsia="zh-CN"/>
              </w:rPr>
              <w:t>表明</w:t>
            </w:r>
            <w:r>
              <w:rPr>
                <w:rFonts w:hint="eastAsia" w:ascii="仿宋" w:hAnsi="仿宋" w:eastAsia="仿宋" w:cs="仿宋"/>
                <w:sz w:val="21"/>
                <w:szCs w:val="21"/>
              </w:rPr>
              <w:t>相对于后续治疗或有创操作和配备专业人员的硬件储备来说，中医药治疗可以减少资源投入，甚至是减轻社会及患者经济投入，此条目建议给分5-6分。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4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条目21：指南提供了监控或审计标准 监测推荐意见的应用有助于持续推广使用，包括过程测试、行为测试、临床或卫生结果测试</w:t>
            </w:r>
          </w:p>
        </w:tc>
        <w:tc>
          <w:tcPr>
            <w:tcW w:w="798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该指南对心肌梗死的中医</w:t>
            </w:r>
            <w:r>
              <w:rPr>
                <w:rFonts w:hint="eastAsia" w:ascii="仿宋" w:hAnsi="仿宋" w:eastAsia="仿宋" w:cs="仿宋"/>
                <w:sz w:val="21"/>
                <w:szCs w:val="21"/>
                <w:lang w:val="en-US" w:eastAsia="zh-CN"/>
              </w:rPr>
              <w:t>辨</w:t>
            </w:r>
            <w:r>
              <w:rPr>
                <w:rFonts w:hint="eastAsia" w:ascii="仿宋" w:hAnsi="仿宋" w:eastAsia="仿宋" w:cs="仿宋"/>
                <w:sz w:val="21"/>
                <w:szCs w:val="21"/>
              </w:rPr>
              <w:t>证用药、措施及高危影响因素、并发症都有明确的总结建议，有文献证据评价支持。建议给予6-7分。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4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条目22：赞助单位的观点不影响指南的内容  指南用明确地声明：资助机构的观点或利益不会对指南的制定产生任何影响。</w:t>
            </w:r>
          </w:p>
        </w:tc>
        <w:tc>
          <w:tcPr>
            <w:tcW w:w="798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color w:val="000000"/>
                <w:sz w:val="21"/>
                <w:szCs w:val="21"/>
              </w:rPr>
              <w:t>前言已强调指南制定与任何单位、参与制定个人无经济利益关系，建议给予6-7分。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4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sz w:val="21"/>
                <w:szCs w:val="21"/>
              </w:rPr>
              <w:t>条目23：指南记录并考虑了制定小组成员的利益冲突 指南应声明：每一位指南制定小组尘缘是否存在任何利益冲突。</w:t>
            </w:r>
          </w:p>
        </w:tc>
        <w:tc>
          <w:tcPr>
            <w:tcW w:w="7980" w:type="dxa"/>
            <w:vAlign w:val="top"/>
          </w:tcPr>
          <w:p>
            <w:pPr>
              <w:widowControl w:val="0"/>
              <w:spacing w:line="360" w:lineRule="auto"/>
              <w:jc w:val="both"/>
              <w:rPr>
                <w:rFonts w:hint="eastAsia" w:ascii="仿宋" w:hAnsi="仿宋" w:eastAsia="仿宋" w:cs="仿宋"/>
                <w:sz w:val="21"/>
                <w:szCs w:val="21"/>
              </w:rPr>
            </w:pPr>
            <w:r>
              <w:rPr>
                <w:rFonts w:hint="eastAsia" w:ascii="仿宋" w:hAnsi="仿宋" w:eastAsia="仿宋" w:cs="仿宋"/>
                <w:color w:val="000000"/>
                <w:sz w:val="21"/>
                <w:szCs w:val="21"/>
              </w:rPr>
              <w:t>前言已强调指南制定与任何单位、参与制定个人无经济利益关系，建议给予6-7分。</w:t>
            </w:r>
          </w:p>
        </w:tc>
      </w:tr>
    </w:tbl>
    <w:p>
      <w:pPr>
        <w:pageBreakBefore w:val="0"/>
        <w:kinsoku/>
        <w:wordWrap/>
        <w:overflowPunct/>
        <w:topLinePunct w:val="0"/>
        <w:bidi w:val="0"/>
        <w:snapToGrid/>
        <w:spacing w:line="400" w:lineRule="exact"/>
        <w:ind w:right="0" w:rightChars="0"/>
        <w:jc w:val="left"/>
        <w:textAlignment w:val="auto"/>
        <w:rPr>
          <w:rFonts w:hint="eastAsia" w:ascii="仿宋" w:hAnsi="仿宋" w:eastAsia="仿宋" w:cs="仿宋"/>
          <w:color w:val="000000"/>
          <w:sz w:val="24"/>
          <w:szCs w:val="24"/>
          <w:lang w:eastAsia="zh-CN"/>
        </w:rPr>
        <w:sectPr>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720" w:num="1"/>
          <w:titlePg/>
          <w:docGrid w:type="lines" w:linePitch="312" w:charSpace="0"/>
        </w:sectPr>
      </w:pPr>
    </w:p>
    <w:p>
      <w:pPr>
        <w:keepNext/>
        <w:keepLines/>
        <w:pageBreakBefore w:val="0"/>
        <w:kinsoku/>
        <w:wordWrap/>
        <w:overflowPunct/>
        <w:topLinePunct w:val="0"/>
        <w:bidi w:val="0"/>
        <w:snapToGrid/>
        <w:spacing w:line="400" w:lineRule="exact"/>
        <w:ind w:right="0" w:rightChars="0"/>
        <w:textAlignment w:val="auto"/>
        <w:outlineLvl w:val="1"/>
        <w:rPr>
          <w:rFonts w:ascii="仿宋" w:hAnsi="仿宋" w:eastAsia="仿宋" w:cs="仿宋"/>
          <w:b/>
          <w:bCs/>
          <w:color w:val="000000"/>
          <w:sz w:val="24"/>
          <w:szCs w:val="24"/>
        </w:rPr>
      </w:pPr>
      <w:bookmarkStart w:id="35" w:name="_Toc498282964"/>
      <w:bookmarkStart w:id="36" w:name="_Toc24070"/>
      <w:r>
        <w:rPr>
          <w:rFonts w:hint="eastAsia" w:ascii="仿宋" w:hAnsi="仿宋" w:eastAsia="仿宋" w:cs="仿宋"/>
          <w:b/>
          <w:sz w:val="24"/>
          <w:szCs w:val="24"/>
        </w:rPr>
        <w:t>附件4：质量方法学评价总结</w:t>
      </w:r>
      <w:bookmarkEnd w:id="35"/>
      <w:bookmarkEnd w:id="36"/>
    </w:p>
    <w:p>
      <w:pPr>
        <w:pageBreakBefore w:val="0"/>
        <w:kinsoku/>
        <w:wordWrap/>
        <w:overflowPunct/>
        <w:topLinePunct w:val="0"/>
        <w:bidi w:val="0"/>
        <w:snapToGrid/>
        <w:spacing w:line="400" w:lineRule="exact"/>
        <w:ind w:right="0" w:rightChars="0" w:firstLine="480" w:firstLineChars="200"/>
        <w:textAlignment w:val="auto"/>
        <w:rPr>
          <w:rFonts w:hint="eastAsia" w:ascii="仿宋" w:hAnsi="仿宋" w:eastAsia="仿宋" w:cs="仿宋"/>
          <w:sz w:val="24"/>
          <w:szCs w:val="24"/>
        </w:rPr>
      </w:pPr>
      <w:bookmarkStart w:id="37" w:name="_Toc14293"/>
    </w:p>
    <w:p>
      <w:pPr>
        <w:pageBreakBefore w:val="0"/>
        <w:kinsoku/>
        <w:wordWrap/>
        <w:overflowPunct/>
        <w:topLinePunct w:val="0"/>
        <w:bidi w:val="0"/>
        <w:snapToGrid/>
        <w:spacing w:line="400" w:lineRule="exact"/>
        <w:ind w:right="0" w:rightChars="0" w:firstLine="480" w:firstLineChars="200"/>
        <w:textAlignment w:val="auto"/>
        <w:rPr>
          <w:rFonts w:ascii="仿宋" w:hAnsi="仿宋" w:eastAsia="仿宋" w:cs="仿宋"/>
          <w:sz w:val="24"/>
          <w:szCs w:val="24"/>
        </w:rPr>
      </w:pPr>
      <w:r>
        <w:rPr>
          <w:rFonts w:hint="eastAsia" w:ascii="仿宋" w:hAnsi="仿宋" w:eastAsia="仿宋" w:cs="仿宋"/>
          <w:sz w:val="24"/>
          <w:szCs w:val="24"/>
        </w:rPr>
        <w:t>在本指南编制之始，即邀请广东省中医院李慧教授、郭新峰教授、刘少南助理研究员等方法学专家就指南编制的相关注意事项、文献检索和评价等进行了专题培训，工作组成员也多次参加了由学会组织的中医药标准化培训，对中医标准化工作有了深刻的认识，对指南撰写的要求有了全面的了解，为指南编制工作提供了基础。</w:t>
      </w:r>
      <w:bookmarkEnd w:id="37"/>
    </w:p>
    <w:p>
      <w:pPr>
        <w:pageBreakBefore w:val="0"/>
        <w:kinsoku/>
        <w:wordWrap/>
        <w:overflowPunct/>
        <w:topLinePunct w:val="0"/>
        <w:bidi w:val="0"/>
        <w:snapToGrid/>
        <w:spacing w:line="400" w:lineRule="exact"/>
        <w:ind w:right="0" w:rightChars="0" w:firstLine="480" w:firstLineChars="200"/>
        <w:textAlignment w:val="auto"/>
        <w:rPr>
          <w:rFonts w:ascii="仿宋" w:hAnsi="仿宋" w:eastAsia="仿宋" w:cs="仿宋"/>
          <w:sz w:val="24"/>
          <w:szCs w:val="24"/>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titlePg/>
          <w:docGrid w:type="lines" w:linePitch="312" w:charSpace="0"/>
        </w:sectPr>
      </w:pPr>
      <w:bookmarkStart w:id="38" w:name="_Toc9203"/>
      <w:r>
        <w:rPr>
          <w:rFonts w:hint="eastAsia" w:ascii="仿宋" w:hAnsi="仿宋" w:eastAsia="仿宋" w:cs="仿宋"/>
          <w:sz w:val="24"/>
          <w:szCs w:val="24"/>
        </w:rPr>
        <w:t>2015年11月召开的指南初稿论证会，工作组邀请了方法学专家共同参加，为本指南的方法学质量进行了评价。根据意见，工作组对指南涉及的处方用药，在推荐说明时，明确突出了不同处方用药临床作用的优势和关键点，增强了指南的层次感；对于个别证据偏少的治疗措施，则仅给出证据级别。</w:t>
      </w:r>
      <w:bookmarkEnd w:id="38"/>
    </w:p>
    <w:p>
      <w:pPr>
        <w:keepNext/>
        <w:keepLines/>
        <w:pageBreakBefore w:val="0"/>
        <w:kinsoku/>
        <w:wordWrap/>
        <w:overflowPunct/>
        <w:topLinePunct w:val="0"/>
        <w:bidi w:val="0"/>
        <w:snapToGrid/>
        <w:spacing w:line="400" w:lineRule="exact"/>
        <w:ind w:right="0" w:rightChars="0"/>
        <w:textAlignment w:val="auto"/>
        <w:outlineLvl w:val="1"/>
        <w:rPr>
          <w:rFonts w:ascii="仿宋" w:hAnsi="仿宋" w:eastAsia="仿宋" w:cs="仿宋"/>
          <w:b/>
          <w:bCs/>
          <w:color w:val="000000"/>
          <w:sz w:val="24"/>
          <w:szCs w:val="24"/>
        </w:rPr>
      </w:pPr>
      <w:bookmarkStart w:id="39" w:name="_Toc498282965"/>
      <w:bookmarkStart w:id="40" w:name="_Toc21669"/>
      <w:r>
        <w:rPr>
          <w:rFonts w:hint="eastAsia" w:ascii="仿宋" w:hAnsi="仿宋" w:eastAsia="仿宋" w:cs="仿宋"/>
          <w:b/>
          <w:sz w:val="24"/>
          <w:szCs w:val="24"/>
        </w:rPr>
        <w:t>附件5：临床一致性评价总结</w:t>
      </w:r>
      <w:bookmarkEnd w:id="39"/>
      <w:bookmarkEnd w:id="40"/>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rPr>
      </w:pPr>
    </w:p>
    <w:p>
      <w:pPr>
        <w:pageBreakBefore w:val="0"/>
        <w:kinsoku/>
        <w:wordWrap/>
        <w:overflowPunct/>
        <w:topLinePunct w:val="0"/>
        <w:bidi w:val="0"/>
        <w:snapToGrid/>
        <w:spacing w:line="400" w:lineRule="exact"/>
        <w:ind w:right="0" w:rightChars="0" w:firstLine="480" w:firstLineChars="200"/>
        <w:jc w:val="left"/>
        <w:textAlignment w:val="auto"/>
        <w:rPr>
          <w:rFonts w:ascii="仿宋" w:hAnsi="仿宋" w:eastAsia="仿宋" w:cs="仿宋"/>
          <w:sz w:val="24"/>
          <w:szCs w:val="24"/>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titlePg/>
          <w:docGrid w:type="lines" w:linePitch="312" w:charSpace="0"/>
        </w:sectPr>
      </w:pPr>
      <w:r>
        <w:rPr>
          <w:rFonts w:hint="eastAsia" w:ascii="仿宋" w:hAnsi="仿宋" w:eastAsia="仿宋" w:cs="仿宋"/>
          <w:color w:val="000000"/>
          <w:sz w:val="24"/>
          <w:szCs w:val="24"/>
        </w:rPr>
        <w:t>自2015年12月-2016年6月，该指南在全国范围内20家协作单位（广州中医药大学第二附属医院）负责起草，北京中医药大学东方医院，广州中医药大学第一附属医院，安徽中医药大学附属一院，内蒙古自治区中医医院，云南省中医院，国中医科学院西苑医院，河南中医学院第一附属医院，浙江省中医院，新疆医科大学附属中医医院，中日友好医院，辽宁中医药大学第一附属医院，北京中医药大学东直门医院，首都医科大学附属北京中医医院，天津中医药大学第一附属医院，长春中医药大学附属医院，上海中医药大学曙光医院，广西中医药大学第一附属医院，徐州市中心医院，中国中医科学院广安门医院，江门市五邑中医院等）开展了一致性评价工作，完成200份评价病例调查表。对调查表信息进行总结和分析，发现该指南对急性心肌梗死的中医、西医疾病诊断符合率相对较高，中医诊治指导效果明显，中医治则治法、辨证论治与指南符合率较高。对不同中成药根据辨证确定其适应，并提供了证据等级及推荐意见，为中成药的合理利用提供了依据。</w:t>
      </w:r>
    </w:p>
    <w:p>
      <w:pPr>
        <w:keepNext/>
        <w:keepLines/>
        <w:pageBreakBefore w:val="0"/>
        <w:kinsoku/>
        <w:wordWrap/>
        <w:overflowPunct/>
        <w:topLinePunct w:val="0"/>
        <w:bidi w:val="0"/>
        <w:snapToGrid/>
        <w:spacing w:line="400" w:lineRule="exact"/>
        <w:ind w:right="0" w:rightChars="0"/>
        <w:textAlignment w:val="auto"/>
        <w:outlineLvl w:val="1"/>
        <w:rPr>
          <w:rFonts w:ascii="仿宋" w:hAnsi="仿宋" w:eastAsia="仿宋" w:cs="仿宋"/>
          <w:b/>
          <w:bCs/>
          <w:color w:val="000000"/>
          <w:sz w:val="24"/>
          <w:szCs w:val="24"/>
        </w:rPr>
      </w:pPr>
      <w:bookmarkStart w:id="41" w:name="_Toc32353"/>
      <w:bookmarkStart w:id="42" w:name="_Toc498282966"/>
      <w:r>
        <w:rPr>
          <w:rFonts w:hint="eastAsia" w:ascii="仿宋" w:hAnsi="仿宋" w:eastAsia="仿宋" w:cs="仿宋"/>
          <w:b/>
          <w:sz w:val="24"/>
          <w:szCs w:val="24"/>
        </w:rPr>
        <w:t>附件6：专家指导组审核总结</w:t>
      </w:r>
      <w:bookmarkEnd w:id="41"/>
      <w:bookmarkEnd w:id="42"/>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rPr>
      </w:pPr>
    </w:p>
    <w:p>
      <w:pPr>
        <w:pageBreakBefore w:val="0"/>
        <w:kinsoku/>
        <w:wordWrap/>
        <w:overflowPunct/>
        <w:topLinePunct w:val="0"/>
        <w:bidi w:val="0"/>
        <w:snapToGrid/>
        <w:spacing w:line="400" w:lineRule="exact"/>
        <w:ind w:right="0" w:righ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2016年12月2日，内科诊疗指南制订专家指导组于北京召组织召开了《急性心肌梗死中医临床诊疗指南（草案）》审核会，：孙塑伦、唐启盛、张洪春、韩学杰、赵海滨、刘清泉等与会专家就指南存在的问题提出意见和建议。工作组根据专家建议对指南进行了修改，形成《急性心肌梗死中医临床诊疗指南》公开征求意见稿。</w:t>
      </w:r>
    </w:p>
    <w:p>
      <w:pPr>
        <w:pageBreakBefore w:val="0"/>
        <w:kinsoku/>
        <w:wordWrap/>
        <w:overflowPunct/>
        <w:topLinePunct w:val="0"/>
        <w:bidi w:val="0"/>
        <w:snapToGrid/>
        <w:spacing w:line="400" w:lineRule="exact"/>
        <w:ind w:right="0" w:rightChars="0" w:firstLine="480" w:firstLineChars="200"/>
        <w:textAlignment w:val="auto"/>
        <w:rPr>
          <w:rFonts w:ascii="仿宋" w:hAnsi="仿宋" w:eastAsia="仿宋" w:cs="仿宋"/>
          <w:color w:val="000000"/>
          <w:sz w:val="24"/>
          <w:szCs w:val="24"/>
        </w:rPr>
      </w:pPr>
      <w:r>
        <w:rPr>
          <w:rFonts w:ascii="仿宋" w:hAnsi="仿宋" w:eastAsia="仿宋" w:cs="仿宋"/>
          <w:color w:val="000000"/>
          <w:sz w:val="24"/>
          <w:szCs w:val="24"/>
        </w:rPr>
        <w:t xml:space="preserve">1. </w:t>
      </w:r>
      <w:r>
        <w:rPr>
          <w:rFonts w:hint="eastAsia" w:ascii="仿宋" w:hAnsi="仿宋" w:eastAsia="仿宋" w:cs="仿宋"/>
          <w:color w:val="000000"/>
          <w:sz w:val="24"/>
          <w:szCs w:val="24"/>
        </w:rPr>
        <w:t>证候分类来源：参照</w:t>
      </w:r>
      <w:r>
        <w:rPr>
          <w:rFonts w:ascii="仿宋" w:hAnsi="仿宋" w:eastAsia="仿宋" w:cs="仿宋"/>
          <w:color w:val="000000"/>
          <w:sz w:val="24"/>
          <w:szCs w:val="24"/>
        </w:rPr>
        <w:t>2014</w:t>
      </w:r>
      <w:r>
        <w:rPr>
          <w:rFonts w:hint="eastAsia" w:ascii="仿宋" w:hAnsi="仿宋" w:eastAsia="仿宋" w:cs="仿宋"/>
          <w:color w:val="000000"/>
          <w:sz w:val="24"/>
          <w:szCs w:val="24"/>
        </w:rPr>
        <w:t>年发表的《急性心肌梗死中西医结合诊疗专家共识》，</w:t>
      </w:r>
      <w:r>
        <w:rPr>
          <w:rFonts w:ascii="仿宋" w:hAnsi="仿宋" w:eastAsia="仿宋" w:cs="仿宋"/>
          <w:color w:val="000000"/>
          <w:sz w:val="24"/>
          <w:szCs w:val="24"/>
        </w:rPr>
        <w:t>AMI</w:t>
      </w:r>
      <w:r>
        <w:rPr>
          <w:rFonts w:hint="eastAsia" w:ascii="仿宋" w:hAnsi="仿宋" w:eastAsia="仿宋" w:cs="仿宋"/>
          <w:color w:val="000000"/>
          <w:sz w:val="24"/>
          <w:szCs w:val="24"/>
        </w:rPr>
        <w:t>临床常见证候为气虚血瘀证、痰瘀互阻证、正虚阳脱证及气阴两虚证。</w:t>
      </w:r>
    </w:p>
    <w:p>
      <w:pPr>
        <w:pageBreakBefore w:val="0"/>
        <w:kinsoku/>
        <w:wordWrap/>
        <w:overflowPunct/>
        <w:topLinePunct w:val="0"/>
        <w:bidi w:val="0"/>
        <w:snapToGrid/>
        <w:spacing w:line="400" w:lineRule="exact"/>
        <w:ind w:right="0" w:rightChars="0" w:firstLine="480" w:firstLineChars="200"/>
        <w:textAlignment w:val="auto"/>
        <w:rPr>
          <w:rFonts w:ascii="仿宋" w:hAnsi="仿宋" w:eastAsia="仿宋" w:cs="仿宋"/>
          <w:color w:val="000000"/>
          <w:sz w:val="24"/>
          <w:szCs w:val="24"/>
        </w:rPr>
      </w:pPr>
      <w:r>
        <w:rPr>
          <w:rFonts w:ascii="仿宋" w:hAnsi="仿宋" w:eastAsia="仿宋" w:cs="仿宋"/>
          <w:color w:val="000000"/>
          <w:sz w:val="24"/>
          <w:szCs w:val="24"/>
        </w:rPr>
        <w:t xml:space="preserve">2. </w:t>
      </w:r>
      <w:r>
        <w:rPr>
          <w:rFonts w:hint="eastAsia" w:ascii="仿宋" w:hAnsi="仿宋" w:eastAsia="仿宋" w:cs="仿宋"/>
          <w:color w:val="000000"/>
          <w:sz w:val="24"/>
          <w:szCs w:val="24"/>
        </w:rPr>
        <w:t>合并症不要写太多，重复内容要删除：根据新版体例要求，将初稿急性心肌梗死预防和并发症的内容，调整至预防与调摄部分，并删除了重复内容。</w:t>
      </w:r>
    </w:p>
    <w:p>
      <w:pPr>
        <w:pageBreakBefore w:val="0"/>
        <w:kinsoku/>
        <w:wordWrap/>
        <w:overflowPunct/>
        <w:topLinePunct w:val="0"/>
        <w:bidi w:val="0"/>
        <w:snapToGrid/>
        <w:spacing w:line="400" w:lineRule="exact"/>
        <w:ind w:right="0" w:rightChars="0" w:firstLine="480" w:firstLineChars="200"/>
        <w:textAlignment w:val="auto"/>
        <w:rPr>
          <w:rFonts w:ascii="仿宋" w:hAnsi="仿宋" w:eastAsia="仿宋" w:cs="仿宋"/>
          <w:color w:val="000000"/>
          <w:sz w:val="30"/>
          <w:szCs w:val="30"/>
        </w:rPr>
      </w:pPr>
      <w:r>
        <w:rPr>
          <w:rFonts w:ascii="仿宋" w:hAnsi="仿宋" w:eastAsia="仿宋" w:cs="仿宋"/>
          <w:color w:val="000000"/>
          <w:sz w:val="24"/>
          <w:szCs w:val="24"/>
        </w:rPr>
        <w:t xml:space="preserve">3. </w:t>
      </w:r>
      <w:r>
        <w:rPr>
          <w:rFonts w:hint="eastAsia" w:ascii="仿宋" w:hAnsi="仿宋" w:eastAsia="仿宋" w:cs="仿宋"/>
          <w:color w:val="000000"/>
          <w:sz w:val="24"/>
          <w:szCs w:val="24"/>
        </w:rPr>
        <w:t>其他：如“痰瘀互结证”修改为“痰瘀互阻证”，预防、并发症推荐中成药适应症均予以说明。</w:t>
      </w:r>
    </w:p>
    <w:p>
      <w:pPr>
        <w:ind w:firstLine="600" w:firstLineChars="200"/>
        <w:jc w:val="left"/>
        <w:rPr>
          <w:rFonts w:hint="eastAsia" w:ascii="仿宋" w:hAnsi="仿宋" w:eastAsia="仿宋" w:cs="仿宋"/>
          <w:color w:val="000000"/>
          <w:sz w:val="30"/>
          <w:szCs w:val="30"/>
        </w:rPr>
      </w:pPr>
    </w:p>
    <w:p>
      <w:pPr>
        <w:spacing w:line="480" w:lineRule="auto"/>
        <w:ind w:left="1357" w:hanging="1356" w:hangingChars="646"/>
        <w:jc w:val="center"/>
        <w:rPr>
          <w:rFonts w:ascii="仿宋" w:hAnsi="仿宋" w:eastAsia="仿宋" w:cs="仿宋"/>
          <w:color w:val="000000"/>
          <w:sz w:val="30"/>
          <w:szCs w:val="30"/>
        </w:rPr>
      </w:pPr>
      <w:r>
        <w:drawing>
          <wp:inline distT="0" distB="0" distL="0" distR="0">
            <wp:extent cx="5510530" cy="71755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513820" cy="7179384"/>
                    </a:xfrm>
                    <a:prstGeom prst="rect">
                      <a:avLst/>
                    </a:prstGeom>
                  </pic:spPr>
                </pic:pic>
              </a:graphicData>
            </a:graphic>
          </wp:inline>
        </w:drawing>
      </w:r>
    </w:p>
    <w:p>
      <w:pPr>
        <w:spacing w:line="480" w:lineRule="auto"/>
        <w:ind w:left="2854" w:hanging="2854" w:hangingChars="646"/>
        <w:jc w:val="center"/>
        <w:rPr>
          <w:rFonts w:ascii="黑体" w:hAnsi="黑体" w:eastAsia="黑体" w:cs="黑体"/>
          <w:b/>
          <w:sz w:val="44"/>
          <w:szCs w:val="44"/>
        </w:rPr>
      </w:pPr>
    </w:p>
    <w:p>
      <w:pPr>
        <w:spacing w:line="480" w:lineRule="auto"/>
        <w:jc w:val="both"/>
        <w:rPr>
          <w:rFonts w:ascii="黑体" w:hAnsi="黑体" w:eastAsia="黑体" w:cs="黑体"/>
          <w:b/>
          <w:sz w:val="44"/>
          <w:szCs w:val="44"/>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43" w:usb2="00000009" w:usb3="00000000" w:csb0="400001FF" w:csb1="FFFF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
    <w:altName w:val="仿宋"/>
    <w:panose1 w:val="00000000000000000000"/>
    <w:charset w:val="86"/>
    <w:family w:val="roman"/>
    <w:pitch w:val="default"/>
    <w:sig w:usb0="00000000" w:usb1="00000000" w:usb2="00000000" w:usb3="00000000" w:csb0="00040000" w:csb1="00000000"/>
  </w:font>
  <w:font w:name="微软雅黑">
    <w:panose1 w:val="020B0503020204020204"/>
    <w:charset w:val="86"/>
    <w:family w:val="swiss"/>
    <w:pitch w:val="default"/>
    <w:sig w:usb0="80000287" w:usb1="28CF3C50" w:usb2="00000016" w:usb3="00000000" w:csb0="0004001F" w:csb1="00000000"/>
  </w:font>
  <w:font w:name="仿宋¨.輀...">
    <w:altName w:val="仿宋"/>
    <w:panose1 w:val="00000000000000000000"/>
    <w:charset w:val="86"/>
    <w:family w:val="roman"/>
    <w:pitch w:val="default"/>
    <w:sig w:usb0="00000000" w:usb1="00000000" w:usb2="00000000" w:usb3="00000000" w:csb0="00040000" w:csb1="00000000"/>
  </w:font>
  <w:font w:name="Calibri Light">
    <w:panose1 w:val="020F0302020204030204"/>
    <w:charset w:val="00"/>
    <w:family w:val="swiss"/>
    <w:pitch w:val="default"/>
    <w:sig w:usb0="E0002AFF" w:usb1="C000247B" w:usb2="00000009" w:usb3="00000000" w:csb0="200001FF" w:csb1="00000000"/>
  </w:font>
  <w:font w:name="..ì.">
    <w:altName w:val="宋体"/>
    <w:panose1 w:val="00000000000000000000"/>
    <w:charset w:val="86"/>
    <w:family w:val="auto"/>
    <w:pitch w:val="default"/>
    <w:sig w:usb0="00000000" w:usb1="00000000" w:usb2="00000000" w:usb3="00000000" w:csb0="00040000" w:csb1="00000000"/>
  </w:font>
  <w:font w:name="DY1+ZFVHAz-1">
    <w:altName w:val="宋体"/>
    <w:panose1 w:val="00000000000000000000"/>
    <w:charset w:val="86"/>
    <w:family w:val="auto"/>
    <w:pitch w:val="default"/>
    <w:sig w:usb0="00000000" w:usb1="00000000" w:usb2="00000010" w:usb3="00000000" w:csb0="00040000" w:csb1="00000000"/>
  </w:font>
  <w:font w:name="DY17+ZFVHA1-17">
    <w:altName w:val="宋体"/>
    <w:panose1 w:val="00000000000000000000"/>
    <w:charset w:val="86"/>
    <w:family w:val="auto"/>
    <w:pitch w:val="default"/>
    <w:sig w:usb0="00000000" w:usb1="00000000" w:usb2="00000010" w:usb3="00000000" w:csb0="00040000" w:csb1="00000000"/>
  </w:font>
  <w:font w:name="DY14+ZFVHA1-14">
    <w:altName w:val="宋体"/>
    <w:panose1 w:val="00000000000000000000"/>
    <w:charset w:val="86"/>
    <w:family w:val="auto"/>
    <w:pitch w:val="default"/>
    <w:sig w:usb0="00000000" w:usb1="00000000" w:usb2="00000010" w:usb3="00000000" w:csb0="00040000" w:csb1="00000000"/>
  </w:font>
  <w:font w:name="隶书">
    <w:panose1 w:val="02010509060101010101"/>
    <w:charset w:val="86"/>
    <w:family w:val="modern"/>
    <w:pitch w:val="default"/>
    <w:sig w:usb0="00000001" w:usb1="080E0000" w:usb2="00000000" w:usb3="00000000" w:csb0="00040000" w:csb1="00000000"/>
  </w:font>
  <w:font w:name="幼圆">
    <w:panose1 w:val="02010509060101010101"/>
    <w:charset w:val="86"/>
    <w:family w:val="auto"/>
    <w:pitch w:val="default"/>
    <w:sig w:usb0="00000001" w:usb1="080E0000" w:usb2="00000000" w:usb3="00000000" w:csb0="00040000" w:csb1="00000000"/>
  </w:font>
  <w:font w:name="仿宋¨.輀...">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ufGT8ICAADWBQAADgAAAAAA&#10;AAABACAAAAAfAQAAZHJzL2Uyb0RvYy54bWxQSwUGAAAAAAYABgBZAQAAUwY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DE98E7C"/>
    <w:multiLevelType w:val="singleLevel"/>
    <w:tmpl w:val="EDE98E7C"/>
    <w:lvl w:ilvl="0" w:tentative="0">
      <w:start w:val="2"/>
      <w:numFmt w:val="decimal"/>
      <w:suff w:val="nothing"/>
      <w:lvlText w:val="（%1）"/>
      <w:lvlJc w:val="left"/>
    </w:lvl>
  </w:abstractNum>
  <w:abstractNum w:abstractNumId="1">
    <w:nsid w:val="5A026004"/>
    <w:multiLevelType w:val="singleLevel"/>
    <w:tmpl w:val="5A026004"/>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F32"/>
    <w:rsid w:val="000422CC"/>
    <w:rsid w:val="00061302"/>
    <w:rsid w:val="001219C4"/>
    <w:rsid w:val="001312E4"/>
    <w:rsid w:val="0014072E"/>
    <w:rsid w:val="00164FB0"/>
    <w:rsid w:val="001C58EC"/>
    <w:rsid w:val="001D0A62"/>
    <w:rsid w:val="00244E65"/>
    <w:rsid w:val="002F3B8E"/>
    <w:rsid w:val="003C742A"/>
    <w:rsid w:val="003E258B"/>
    <w:rsid w:val="003E7CA5"/>
    <w:rsid w:val="004377F3"/>
    <w:rsid w:val="00445742"/>
    <w:rsid w:val="0044690F"/>
    <w:rsid w:val="00515F17"/>
    <w:rsid w:val="00565DAE"/>
    <w:rsid w:val="00575510"/>
    <w:rsid w:val="006179D9"/>
    <w:rsid w:val="006E0694"/>
    <w:rsid w:val="00740836"/>
    <w:rsid w:val="00745042"/>
    <w:rsid w:val="00745331"/>
    <w:rsid w:val="007A7EF5"/>
    <w:rsid w:val="00826797"/>
    <w:rsid w:val="00833CC4"/>
    <w:rsid w:val="0085235C"/>
    <w:rsid w:val="008739C3"/>
    <w:rsid w:val="00890EC5"/>
    <w:rsid w:val="008B3A53"/>
    <w:rsid w:val="008D3C31"/>
    <w:rsid w:val="008E250F"/>
    <w:rsid w:val="008F5756"/>
    <w:rsid w:val="00931520"/>
    <w:rsid w:val="00941793"/>
    <w:rsid w:val="00944821"/>
    <w:rsid w:val="009828A5"/>
    <w:rsid w:val="009A7F73"/>
    <w:rsid w:val="00A70743"/>
    <w:rsid w:val="00B471D9"/>
    <w:rsid w:val="00B70779"/>
    <w:rsid w:val="00B73635"/>
    <w:rsid w:val="00B75BA7"/>
    <w:rsid w:val="00B9604F"/>
    <w:rsid w:val="00BD1D48"/>
    <w:rsid w:val="00BD458A"/>
    <w:rsid w:val="00C25D6B"/>
    <w:rsid w:val="00C55E49"/>
    <w:rsid w:val="00C963F3"/>
    <w:rsid w:val="00D177FA"/>
    <w:rsid w:val="00D5190A"/>
    <w:rsid w:val="00D54BF3"/>
    <w:rsid w:val="00D842D8"/>
    <w:rsid w:val="00DB0FB8"/>
    <w:rsid w:val="00DD64AC"/>
    <w:rsid w:val="00DF4F32"/>
    <w:rsid w:val="00E26907"/>
    <w:rsid w:val="00E409C0"/>
    <w:rsid w:val="00E96668"/>
    <w:rsid w:val="00EB2536"/>
    <w:rsid w:val="00F651F8"/>
    <w:rsid w:val="00F76EA4"/>
    <w:rsid w:val="00FB5C6F"/>
    <w:rsid w:val="00FF545B"/>
    <w:rsid w:val="05161464"/>
    <w:rsid w:val="0B4A5416"/>
    <w:rsid w:val="10D7366B"/>
    <w:rsid w:val="10E82B47"/>
    <w:rsid w:val="12F94B8C"/>
    <w:rsid w:val="1350389F"/>
    <w:rsid w:val="13D86293"/>
    <w:rsid w:val="1F885E40"/>
    <w:rsid w:val="208B23BE"/>
    <w:rsid w:val="23275BDB"/>
    <w:rsid w:val="2BC0574C"/>
    <w:rsid w:val="2D2E07B5"/>
    <w:rsid w:val="2E723FCC"/>
    <w:rsid w:val="301C0141"/>
    <w:rsid w:val="361C087F"/>
    <w:rsid w:val="3D2876C6"/>
    <w:rsid w:val="42C5235F"/>
    <w:rsid w:val="44E27F92"/>
    <w:rsid w:val="4A3A22B6"/>
    <w:rsid w:val="4AB74785"/>
    <w:rsid w:val="4DFD7C13"/>
    <w:rsid w:val="4F42125B"/>
    <w:rsid w:val="542B38BC"/>
    <w:rsid w:val="54CA7EB7"/>
    <w:rsid w:val="5ABE170E"/>
    <w:rsid w:val="5B2F338E"/>
    <w:rsid w:val="6C4F3254"/>
    <w:rsid w:val="714D67A3"/>
    <w:rsid w:val="719B2EB1"/>
    <w:rsid w:val="7346181D"/>
    <w:rsid w:val="74F12403"/>
    <w:rsid w:val="75AC7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
    <w:qFormat/>
    <w:uiPriority w:val="0"/>
    <w:pPr>
      <w:keepNext/>
      <w:keepLines/>
      <w:spacing w:before="340" w:after="330" w:line="576" w:lineRule="auto"/>
      <w:outlineLvl w:val="0"/>
    </w:pPr>
    <w:rPr>
      <w:b/>
      <w:kern w:val="44"/>
      <w:sz w:val="44"/>
    </w:rPr>
  </w:style>
  <w:style w:type="paragraph" w:styleId="3">
    <w:name w:val="heading 2"/>
    <w:basedOn w:val="1"/>
    <w:next w:val="1"/>
    <w:link w:val="15"/>
    <w:qFormat/>
    <w:uiPriority w:val="0"/>
    <w:pPr>
      <w:keepNext/>
      <w:keepLines/>
      <w:spacing w:before="260" w:after="260" w:line="413" w:lineRule="auto"/>
      <w:outlineLvl w:val="1"/>
    </w:pPr>
    <w:rPr>
      <w:rFonts w:ascii="Arial" w:hAnsi="Arial" w:eastAsia="黑体"/>
      <w:b/>
      <w:sz w:val="32"/>
    </w:rPr>
  </w:style>
  <w:style w:type="character" w:default="1" w:styleId="9">
    <w:name w:val="Default Paragraph Font"/>
    <w:semiHidden/>
    <w:unhideWhenUsed/>
    <w:uiPriority w:val="1"/>
  </w:style>
  <w:style w:type="table" w:default="1" w:styleId="11">
    <w:name w:val="Normal Table"/>
    <w:semiHidden/>
    <w:unhideWhenUsed/>
    <w:uiPriority w:val="99"/>
    <w:tblPr>
      <w:tblLayout w:type="fixed"/>
      <w:tblCellMar>
        <w:top w:w="0" w:type="dxa"/>
        <w:left w:w="108" w:type="dxa"/>
        <w:bottom w:w="0" w:type="dxa"/>
        <w:right w:w="108" w:type="dxa"/>
      </w:tblCellMar>
    </w:tblPr>
  </w:style>
  <w:style w:type="paragraph" w:styleId="4">
    <w:name w:val="toc 3"/>
    <w:basedOn w:val="1"/>
    <w:next w:val="1"/>
    <w:unhideWhenUsed/>
    <w:uiPriority w:val="39"/>
    <w:pPr>
      <w:widowControl/>
      <w:spacing w:after="100" w:line="259" w:lineRule="auto"/>
      <w:ind w:left="440"/>
      <w:jc w:val="left"/>
    </w:pPr>
    <w:rPr>
      <w:rFonts w:asciiTheme="minorHAnsi" w:hAnsiTheme="minorHAnsi" w:eastAsiaTheme="minorEastAsia"/>
      <w:kern w:val="0"/>
      <w:sz w:val="22"/>
      <w:szCs w:val="22"/>
    </w:rPr>
  </w:style>
  <w:style w:type="paragraph" w:styleId="5">
    <w:name w:val="footer"/>
    <w:basedOn w:val="1"/>
    <w:link w:val="18"/>
    <w:unhideWhenUsed/>
    <w:qFormat/>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8">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0">
    <w:name w:val="Hyperlink"/>
    <w:basedOn w:val="9"/>
    <w:unhideWhenUsed/>
    <w:qFormat/>
    <w:uiPriority w:val="99"/>
    <w:rPr>
      <w:color w:val="0563C1" w:themeColor="hyperlink"/>
      <w:u w:val="single"/>
      <w14:textFill>
        <w14:solidFill>
          <w14:schemeClr w14:val="hlink"/>
        </w14:solidFill>
      </w14:textFill>
    </w:rPr>
  </w:style>
  <w:style w:type="table" w:styleId="12">
    <w:name w:val="Table Grid"/>
    <w:basedOn w:val="11"/>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3">
    <w:name w:val="List Paragraph"/>
    <w:basedOn w:val="1"/>
    <w:qFormat/>
    <w:uiPriority w:val="34"/>
    <w:pPr>
      <w:ind w:firstLine="420" w:firstLineChars="200"/>
    </w:pPr>
  </w:style>
  <w:style w:type="character" w:customStyle="1" w:styleId="14">
    <w:name w:val="标题 1 字符"/>
    <w:basedOn w:val="9"/>
    <w:link w:val="2"/>
    <w:uiPriority w:val="0"/>
    <w:rPr>
      <w:rFonts w:ascii="Times New Roman" w:hAnsi="Times New Roman" w:eastAsia="宋体" w:cs="Times New Roman"/>
      <w:b/>
      <w:kern w:val="44"/>
      <w:sz w:val="44"/>
      <w:szCs w:val="24"/>
    </w:rPr>
  </w:style>
  <w:style w:type="character" w:customStyle="1" w:styleId="15">
    <w:name w:val="标题 2 字符"/>
    <w:basedOn w:val="9"/>
    <w:link w:val="3"/>
    <w:uiPriority w:val="0"/>
    <w:rPr>
      <w:rFonts w:ascii="Arial" w:hAnsi="Arial" w:eastAsia="黑体" w:cs="Times New Roman"/>
      <w:b/>
      <w:sz w:val="32"/>
      <w:szCs w:val="24"/>
    </w:rPr>
  </w:style>
  <w:style w:type="paragraph" w:customStyle="1" w:styleId="16">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F5597" w:themeColor="accent1" w:themeShade="BF"/>
      <w:kern w:val="0"/>
      <w:sz w:val="32"/>
      <w:szCs w:val="32"/>
    </w:rPr>
  </w:style>
  <w:style w:type="character" w:customStyle="1" w:styleId="17">
    <w:name w:val="页眉 字符"/>
    <w:basedOn w:val="9"/>
    <w:link w:val="6"/>
    <w:qFormat/>
    <w:uiPriority w:val="99"/>
    <w:rPr>
      <w:rFonts w:ascii="Times New Roman" w:hAnsi="Times New Roman" w:eastAsia="宋体" w:cs="Times New Roman"/>
      <w:sz w:val="18"/>
      <w:szCs w:val="18"/>
    </w:rPr>
  </w:style>
  <w:style w:type="character" w:customStyle="1" w:styleId="18">
    <w:name w:val="页脚 字符"/>
    <w:basedOn w:val="9"/>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99F145-2AA6-4ACF-9AF9-DD19CA24B2E2}">
  <ds:schemaRefs/>
</ds:datastoreItem>
</file>

<file path=docProps/app.xml><?xml version="1.0" encoding="utf-8"?>
<Properties xmlns="http://schemas.openxmlformats.org/officeDocument/2006/extended-properties" xmlns:vt="http://schemas.openxmlformats.org/officeDocument/2006/docPropsVTypes">
  <Template>Normal</Template>
  <Pages>32</Pages>
  <Words>2221</Words>
  <Characters>12666</Characters>
  <Lines>105</Lines>
  <Paragraphs>29</Paragraphs>
  <TotalTime>0</TotalTime>
  <ScaleCrop>false</ScaleCrop>
  <LinksUpToDate>false</LinksUpToDate>
  <CharactersWithSpaces>14858</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2017-11-12T05:40:00Z</dcterms:created>
  <dc:creator>有朋皆自网上来</dc:creator>
  <cp:lastModifiedBy>lyt</cp:lastModifiedBy>
  <dcterms:modified xsi:type="dcterms:W3CDTF">2018-01-31T05:13:14Z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